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Spec="center" w:tblpY="-435"/>
        <w:tblW w:w="11550" w:type="dxa"/>
        <w:tblCellSpacing w:w="0" w:type="dxa"/>
        <w:shd w:val="clear" w:color="auto" w:fill="FFFFFF"/>
        <w:tblCellMar>
          <w:top w:w="45" w:type="dxa"/>
          <w:left w:w="45" w:type="dxa"/>
          <w:bottom w:w="45" w:type="dxa"/>
          <w:right w:w="45" w:type="dxa"/>
        </w:tblCellMar>
        <w:tblLook w:val="04A0"/>
      </w:tblPr>
      <w:tblGrid>
        <w:gridCol w:w="5232"/>
        <w:gridCol w:w="6318"/>
      </w:tblGrid>
      <w:tr w:rsidR="00F91204" w:rsidTr="00670379">
        <w:trPr>
          <w:tblCellSpacing w:w="0" w:type="dxa"/>
        </w:trPr>
        <w:tc>
          <w:tcPr>
            <w:tcW w:w="0" w:type="auto"/>
            <w:gridSpan w:val="2"/>
            <w:shd w:val="clear" w:color="auto" w:fill="FFFFFF"/>
            <w:vAlign w:val="center"/>
            <w:hideMark/>
          </w:tcPr>
          <w:p w:rsidR="00670379" w:rsidRDefault="00F91204" w:rsidP="00670379">
            <w:pPr>
              <w:spacing w:line="240" w:lineRule="atLeast"/>
              <w:jc w:val="center"/>
              <w:rPr>
                <w:rFonts w:ascii="Verdana" w:hAnsi="Verdana"/>
                <w:b/>
                <w:bCs/>
                <w:color w:val="000000"/>
                <w:sz w:val="26"/>
                <w:szCs w:val="26"/>
              </w:rPr>
            </w:pPr>
            <w:r>
              <w:rPr>
                <w:rFonts w:ascii="Verdana" w:hAnsi="Verdana"/>
                <w:b/>
                <w:bCs/>
                <w:color w:val="000000"/>
                <w:sz w:val="26"/>
                <w:szCs w:val="26"/>
              </w:rPr>
              <w:t>VII Encuentro Nacional Y IV Latinoamericano:</w:t>
            </w:r>
            <w:r>
              <w:rPr>
                <w:rStyle w:val="apple-converted-space"/>
                <w:rFonts w:ascii="Verdana" w:hAnsi="Verdana"/>
                <w:color w:val="000000"/>
              </w:rPr>
              <w:t> </w:t>
            </w:r>
            <w:r w:rsidR="00670379">
              <w:rPr>
                <w:rFonts w:ascii="Verdana" w:hAnsi="Verdana"/>
                <w:b/>
                <w:bCs/>
                <w:color w:val="000000"/>
                <w:sz w:val="26"/>
                <w:szCs w:val="26"/>
              </w:rPr>
              <w:t xml:space="preserve"> </w:t>
            </w:r>
            <w:r>
              <w:rPr>
                <w:rFonts w:ascii="Verdana" w:hAnsi="Verdana"/>
                <w:b/>
                <w:bCs/>
                <w:color w:val="000000"/>
                <w:sz w:val="26"/>
                <w:szCs w:val="26"/>
              </w:rPr>
              <w:br/>
              <w:t>"La Universidad Como Objeto De Investigación"</w:t>
            </w:r>
          </w:p>
          <w:p w:rsidR="00670379" w:rsidRDefault="00670379" w:rsidP="00670379">
            <w:pPr>
              <w:spacing w:line="240" w:lineRule="atLeast"/>
              <w:jc w:val="center"/>
              <w:rPr>
                <w:rFonts w:ascii="Verdana" w:hAnsi="Verdana"/>
                <w:b/>
                <w:bCs/>
                <w:color w:val="000000"/>
              </w:rPr>
            </w:pPr>
            <w:r w:rsidRPr="009F0481">
              <w:rPr>
                <w:rFonts w:ascii="Verdana" w:hAnsi="Verdana"/>
                <w:b/>
                <w:bCs/>
                <w:color w:val="000000"/>
              </w:rPr>
              <w:t>U</w:t>
            </w:r>
            <w:r>
              <w:rPr>
                <w:rFonts w:ascii="Verdana" w:hAnsi="Verdana"/>
                <w:b/>
                <w:bCs/>
                <w:color w:val="000000"/>
              </w:rPr>
              <w:t>niversidad y democracia en Argentina y América L</w:t>
            </w:r>
            <w:r w:rsidRPr="009F0481">
              <w:rPr>
                <w:rFonts w:ascii="Verdana" w:hAnsi="Verdana"/>
                <w:b/>
                <w:bCs/>
                <w:color w:val="000000"/>
              </w:rPr>
              <w:t xml:space="preserve">atina </w:t>
            </w:r>
          </w:p>
          <w:p w:rsidR="00F91204" w:rsidRDefault="00F91204" w:rsidP="00670379">
            <w:pPr>
              <w:spacing w:line="240" w:lineRule="atLeast"/>
              <w:jc w:val="center"/>
              <w:rPr>
                <w:rFonts w:ascii="Verdana" w:hAnsi="Verdana"/>
                <w:b/>
                <w:bCs/>
                <w:color w:val="000000"/>
                <w:sz w:val="20"/>
                <w:szCs w:val="20"/>
              </w:rPr>
            </w:pPr>
            <w:r w:rsidRPr="009F0481">
              <w:rPr>
                <w:rFonts w:ascii="Verdana" w:hAnsi="Verdana"/>
                <w:b/>
                <w:bCs/>
                <w:color w:val="000000"/>
                <w:sz w:val="20"/>
                <w:szCs w:val="20"/>
              </w:rPr>
              <w:br/>
            </w:r>
            <w:r w:rsidR="00670379">
              <w:rPr>
                <w:noProof/>
                <w:lang w:val="es-ES" w:eastAsia="es-ES"/>
              </w:rPr>
              <w:drawing>
                <wp:inline distT="0" distB="0" distL="0" distR="0">
                  <wp:extent cx="723900" cy="874346"/>
                  <wp:effectExtent l="19050" t="0" r="0" b="0"/>
                  <wp:docPr id="23" name="Imagen 1" descr="C:\Users\Public\Pictures\Sample Pictures\Pengu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Sample Pictures\Penguins.jpg"/>
                          <pic:cNvPicPr>
                            <a:picLocks noChangeAspect="1" noChangeArrowheads="1"/>
                          </pic:cNvPicPr>
                        </pic:nvPicPr>
                        <pic:blipFill>
                          <a:blip r:embed="rId7"/>
                          <a:srcRect/>
                          <a:stretch>
                            <a:fillRect/>
                          </a:stretch>
                        </pic:blipFill>
                        <pic:spPr bwMode="auto">
                          <a:xfrm>
                            <a:off x="0" y="0"/>
                            <a:ext cx="725518" cy="876300"/>
                          </a:xfrm>
                          <a:prstGeom prst="rect">
                            <a:avLst/>
                          </a:prstGeom>
                          <a:noFill/>
                          <a:ln w="9525">
                            <a:noFill/>
                            <a:miter lim="800000"/>
                            <a:headEnd/>
                            <a:tailEnd/>
                          </a:ln>
                        </pic:spPr>
                      </pic:pic>
                    </a:graphicData>
                  </a:graphic>
                </wp:inline>
              </w:drawing>
            </w:r>
          </w:p>
          <w:p w:rsidR="00F91204" w:rsidRDefault="00F91204" w:rsidP="00670379">
            <w:pPr>
              <w:pStyle w:val="Ttulo2"/>
              <w:jc w:val="both"/>
            </w:pPr>
            <w:r>
              <w:t>En esta segunda circular incluimos información sobre los ejes temáticos de las ponencias, forma y fecha de</w:t>
            </w:r>
            <w:r w:rsidR="00D96BA0">
              <w:t xml:space="preserve"> presentación de las mismas</w:t>
            </w:r>
            <w:r w:rsidR="003F6CA2">
              <w:t xml:space="preserve">, </w:t>
            </w:r>
            <w:r>
              <w:t xml:space="preserve"> ficha de inscripción y modos de pagos</w:t>
            </w:r>
            <w:r w:rsidR="003F6CA2">
              <w:t>.</w:t>
            </w:r>
          </w:p>
          <w:p w:rsidR="003400A1" w:rsidRDefault="00C12D0B" w:rsidP="00670379">
            <w:pPr>
              <w:pStyle w:val="Ttulo2"/>
              <w:jc w:val="both"/>
            </w:pPr>
            <w:r w:rsidRPr="00C12D0B">
              <w:t>Las diversas a</w:t>
            </w:r>
            <w:r>
              <w:t>ctividades del evento se llevará</w:t>
            </w:r>
            <w:r w:rsidRPr="00C12D0B">
              <w:t>n a cabo a través de: Conferencias,  paneles,  ponencias, foros y presentaciones de libros</w:t>
            </w:r>
            <w:r>
              <w:t xml:space="preserve">. </w:t>
            </w:r>
          </w:p>
          <w:p w:rsidR="00C12D0B" w:rsidRPr="00C12D0B" w:rsidRDefault="00C12D0B" w:rsidP="00670379"/>
        </w:tc>
      </w:tr>
      <w:tr w:rsidR="003400A1" w:rsidTr="00670379">
        <w:trPr>
          <w:tblCellSpacing w:w="0" w:type="dxa"/>
        </w:trPr>
        <w:tc>
          <w:tcPr>
            <w:tcW w:w="4774" w:type="dxa"/>
            <w:shd w:val="clear" w:color="auto" w:fill="FFFFFF"/>
            <w:vAlign w:val="center"/>
            <w:hideMark/>
          </w:tcPr>
          <w:p w:rsidR="00F91204" w:rsidRPr="009F0481" w:rsidRDefault="00F91204" w:rsidP="00670379">
            <w:pPr>
              <w:pStyle w:val="Ttulo"/>
              <w:rPr>
                <w:sz w:val="40"/>
                <w:szCs w:val="40"/>
              </w:rPr>
            </w:pPr>
            <w:r w:rsidRPr="009F0481">
              <w:rPr>
                <w:sz w:val="40"/>
                <w:szCs w:val="40"/>
              </w:rPr>
              <w:t xml:space="preserve">UNIVERSIDAD </w:t>
            </w:r>
            <w:r>
              <w:rPr>
                <w:sz w:val="40"/>
                <w:szCs w:val="40"/>
              </w:rPr>
              <w:t>N</w:t>
            </w:r>
            <w:r w:rsidRPr="009F0481">
              <w:rPr>
                <w:sz w:val="40"/>
                <w:szCs w:val="40"/>
              </w:rPr>
              <w:t xml:space="preserve">ACIONAL DE SAN LUIS. 29, 30 Y 31 </w:t>
            </w:r>
            <w:r w:rsidR="00C12D0B">
              <w:rPr>
                <w:sz w:val="40"/>
                <w:szCs w:val="40"/>
              </w:rPr>
              <w:t>de</w:t>
            </w:r>
            <w:r w:rsidRPr="009F0481">
              <w:rPr>
                <w:sz w:val="40"/>
                <w:szCs w:val="40"/>
              </w:rPr>
              <w:t xml:space="preserve"> Agosto del 2013</w:t>
            </w:r>
          </w:p>
          <w:p w:rsidR="00F91204" w:rsidRDefault="00F91204" w:rsidP="00670379">
            <w:pPr>
              <w:pStyle w:val="NormalWeb"/>
              <w:spacing w:line="240" w:lineRule="atLeast"/>
              <w:jc w:val="both"/>
              <w:rPr>
                <w:rFonts w:ascii="Verdana" w:hAnsi="Verdana"/>
                <w:color w:val="000000"/>
                <w:sz w:val="17"/>
                <w:szCs w:val="17"/>
              </w:rPr>
            </w:pPr>
          </w:p>
        </w:tc>
        <w:tc>
          <w:tcPr>
            <w:tcW w:w="6776" w:type="dxa"/>
            <w:shd w:val="clear" w:color="auto" w:fill="FFFFFF"/>
            <w:vAlign w:val="center"/>
            <w:hideMark/>
          </w:tcPr>
          <w:p w:rsidR="00F91204" w:rsidRDefault="00F91204" w:rsidP="00670379">
            <w:pPr>
              <w:pStyle w:val="NormalWeb"/>
              <w:spacing w:line="240" w:lineRule="atLeast"/>
              <w:rPr>
                <w:rStyle w:val="nfasis"/>
                <w:color w:val="000000"/>
                <w:sz w:val="20"/>
                <w:szCs w:val="20"/>
              </w:rPr>
            </w:pPr>
            <w:r>
              <w:rPr>
                <w:rStyle w:val="Textoennegrita"/>
                <w:color w:val="000000"/>
              </w:rPr>
              <w:t>Ejes temáticos para la presentación de ponencias</w:t>
            </w:r>
            <w:r>
              <w:rPr>
                <w:rStyle w:val="Refdenotaalpie"/>
                <w:b/>
                <w:bCs/>
                <w:color w:val="000000"/>
              </w:rPr>
              <w:footnoteReference w:id="2"/>
            </w:r>
            <w:r>
              <w:rPr>
                <w:i/>
                <w:iCs/>
                <w:color w:val="000000"/>
                <w:sz w:val="20"/>
                <w:szCs w:val="20"/>
              </w:rPr>
              <w:br/>
            </w:r>
            <w:r>
              <w:rPr>
                <w:rStyle w:val="nfasis"/>
                <w:color w:val="000000"/>
                <w:sz w:val="20"/>
                <w:szCs w:val="20"/>
              </w:rPr>
              <w:t> </w:t>
            </w:r>
            <w:r>
              <w:rPr>
                <w:i/>
                <w:iCs/>
                <w:color w:val="000000"/>
                <w:sz w:val="20"/>
                <w:szCs w:val="20"/>
              </w:rPr>
              <w:br/>
            </w:r>
            <w:r>
              <w:rPr>
                <w:rStyle w:val="nfasis"/>
                <w:color w:val="000000"/>
                <w:sz w:val="20"/>
                <w:szCs w:val="20"/>
              </w:rPr>
              <w:t>Eje 1: Organización, política, gobierno y  universitario</w:t>
            </w:r>
            <w:r>
              <w:rPr>
                <w:i/>
                <w:iCs/>
                <w:color w:val="000000"/>
                <w:sz w:val="20"/>
                <w:szCs w:val="20"/>
              </w:rPr>
              <w:br/>
            </w:r>
            <w:r>
              <w:rPr>
                <w:rStyle w:val="nfasis"/>
                <w:color w:val="000000"/>
                <w:sz w:val="20"/>
                <w:szCs w:val="20"/>
              </w:rPr>
              <w:t> </w:t>
            </w:r>
            <w:r>
              <w:rPr>
                <w:i/>
                <w:iCs/>
                <w:color w:val="000000"/>
                <w:sz w:val="20"/>
                <w:szCs w:val="20"/>
              </w:rPr>
              <w:br/>
            </w:r>
            <w:r>
              <w:rPr>
                <w:rStyle w:val="nfasis"/>
                <w:color w:val="000000"/>
                <w:sz w:val="20"/>
                <w:szCs w:val="20"/>
              </w:rPr>
              <w:t>Eje 2: Economía y Financiamiento</w:t>
            </w:r>
            <w:r>
              <w:rPr>
                <w:i/>
                <w:iCs/>
                <w:color w:val="000000"/>
                <w:sz w:val="20"/>
                <w:szCs w:val="20"/>
              </w:rPr>
              <w:br/>
            </w:r>
            <w:r>
              <w:rPr>
                <w:rStyle w:val="nfasis"/>
                <w:color w:val="000000"/>
                <w:sz w:val="20"/>
                <w:szCs w:val="20"/>
              </w:rPr>
              <w:t> </w:t>
            </w:r>
            <w:r>
              <w:rPr>
                <w:i/>
                <w:iCs/>
                <w:color w:val="000000"/>
                <w:sz w:val="20"/>
                <w:szCs w:val="20"/>
              </w:rPr>
              <w:br/>
            </w:r>
            <w:r w:rsidR="003F6CA2">
              <w:rPr>
                <w:rStyle w:val="nfasis"/>
                <w:color w:val="000000"/>
                <w:sz w:val="20"/>
                <w:szCs w:val="20"/>
              </w:rPr>
              <w:t>Eje 3: Currículo y Didáctica General y  Didácticas E</w:t>
            </w:r>
            <w:r w:rsidR="00D96BA0">
              <w:rPr>
                <w:rStyle w:val="nfasis"/>
                <w:color w:val="000000"/>
                <w:sz w:val="20"/>
                <w:szCs w:val="20"/>
              </w:rPr>
              <w:t xml:space="preserve">speciales del </w:t>
            </w:r>
            <w:r>
              <w:rPr>
                <w:rStyle w:val="nfasis"/>
                <w:color w:val="000000"/>
                <w:sz w:val="20"/>
                <w:szCs w:val="20"/>
              </w:rPr>
              <w:t xml:space="preserve"> nivel superior</w:t>
            </w:r>
            <w:r>
              <w:rPr>
                <w:i/>
                <w:iCs/>
                <w:color w:val="000000"/>
                <w:sz w:val="20"/>
                <w:szCs w:val="20"/>
              </w:rPr>
              <w:br/>
            </w:r>
            <w:r>
              <w:rPr>
                <w:rStyle w:val="nfasis"/>
                <w:color w:val="000000"/>
                <w:sz w:val="20"/>
                <w:szCs w:val="20"/>
              </w:rPr>
              <w:t> </w:t>
            </w:r>
            <w:r>
              <w:rPr>
                <w:i/>
                <w:iCs/>
                <w:color w:val="000000"/>
                <w:sz w:val="20"/>
                <w:szCs w:val="20"/>
              </w:rPr>
              <w:br/>
            </w:r>
            <w:r>
              <w:rPr>
                <w:rStyle w:val="nfasis"/>
                <w:color w:val="000000"/>
                <w:sz w:val="20"/>
                <w:szCs w:val="20"/>
              </w:rPr>
              <w:t>Eje 4: Producción y transferencia del conocimiento</w:t>
            </w:r>
            <w:r>
              <w:rPr>
                <w:i/>
                <w:iCs/>
                <w:color w:val="000000"/>
                <w:sz w:val="20"/>
                <w:szCs w:val="20"/>
              </w:rPr>
              <w:br/>
            </w:r>
            <w:r>
              <w:rPr>
                <w:rStyle w:val="nfasis"/>
                <w:color w:val="000000"/>
                <w:sz w:val="20"/>
                <w:szCs w:val="20"/>
              </w:rPr>
              <w:t> </w:t>
            </w:r>
            <w:r>
              <w:rPr>
                <w:i/>
                <w:iCs/>
                <w:color w:val="000000"/>
                <w:sz w:val="20"/>
                <w:szCs w:val="20"/>
              </w:rPr>
              <w:br/>
            </w:r>
            <w:r>
              <w:rPr>
                <w:rStyle w:val="nfasis"/>
                <w:color w:val="000000"/>
                <w:sz w:val="20"/>
                <w:szCs w:val="20"/>
              </w:rPr>
              <w:t xml:space="preserve">Eje 5: Campo ocupacional y posgrados </w:t>
            </w:r>
            <w:r>
              <w:rPr>
                <w:i/>
                <w:iCs/>
                <w:color w:val="000000"/>
                <w:sz w:val="20"/>
                <w:szCs w:val="20"/>
              </w:rPr>
              <w:br/>
            </w:r>
            <w:r>
              <w:rPr>
                <w:rStyle w:val="nfasis"/>
                <w:color w:val="000000"/>
                <w:sz w:val="20"/>
                <w:szCs w:val="20"/>
              </w:rPr>
              <w:t> </w:t>
            </w:r>
            <w:r>
              <w:rPr>
                <w:i/>
                <w:iCs/>
                <w:color w:val="000000"/>
                <w:sz w:val="20"/>
                <w:szCs w:val="20"/>
              </w:rPr>
              <w:br/>
            </w:r>
            <w:r>
              <w:rPr>
                <w:rStyle w:val="nfasis"/>
                <w:color w:val="000000"/>
                <w:sz w:val="20"/>
                <w:szCs w:val="20"/>
              </w:rPr>
              <w:t>Eje 6: Historia de la Universidad: instituciones, disciplinas y sujetos</w:t>
            </w:r>
            <w:r>
              <w:rPr>
                <w:i/>
                <w:iCs/>
                <w:color w:val="000000"/>
                <w:sz w:val="20"/>
                <w:szCs w:val="20"/>
              </w:rPr>
              <w:br/>
            </w:r>
            <w:r>
              <w:rPr>
                <w:rStyle w:val="nfasis"/>
                <w:color w:val="000000"/>
                <w:sz w:val="20"/>
                <w:szCs w:val="20"/>
              </w:rPr>
              <w:t> </w:t>
            </w:r>
            <w:r>
              <w:rPr>
                <w:i/>
                <w:iCs/>
                <w:color w:val="000000"/>
                <w:sz w:val="20"/>
                <w:szCs w:val="20"/>
              </w:rPr>
              <w:br/>
            </w:r>
            <w:r>
              <w:rPr>
                <w:rStyle w:val="nfasis"/>
                <w:color w:val="000000"/>
                <w:sz w:val="20"/>
                <w:szCs w:val="20"/>
              </w:rPr>
              <w:t>Eje 7: Evaluación y acreditación universitaria</w:t>
            </w:r>
            <w:r>
              <w:rPr>
                <w:i/>
                <w:iCs/>
                <w:color w:val="000000"/>
                <w:sz w:val="20"/>
                <w:szCs w:val="20"/>
              </w:rPr>
              <w:br/>
            </w:r>
            <w:r>
              <w:rPr>
                <w:rStyle w:val="nfasis"/>
                <w:color w:val="000000"/>
                <w:sz w:val="20"/>
                <w:szCs w:val="20"/>
              </w:rPr>
              <w:t> </w:t>
            </w:r>
            <w:r>
              <w:rPr>
                <w:i/>
                <w:iCs/>
                <w:color w:val="000000"/>
                <w:sz w:val="20"/>
                <w:szCs w:val="20"/>
              </w:rPr>
              <w:br/>
            </w:r>
            <w:r>
              <w:rPr>
                <w:rStyle w:val="nfasis"/>
                <w:color w:val="000000"/>
                <w:sz w:val="20"/>
                <w:szCs w:val="20"/>
              </w:rPr>
              <w:t>Eje 8: Nuevas tecnologías en la enseñanza</w:t>
            </w:r>
            <w:r>
              <w:rPr>
                <w:i/>
                <w:iCs/>
                <w:color w:val="000000"/>
                <w:sz w:val="20"/>
                <w:szCs w:val="20"/>
              </w:rPr>
              <w:br/>
            </w:r>
            <w:r>
              <w:rPr>
                <w:rStyle w:val="nfasis"/>
                <w:color w:val="000000"/>
                <w:sz w:val="20"/>
                <w:szCs w:val="20"/>
              </w:rPr>
              <w:t> </w:t>
            </w:r>
            <w:r>
              <w:rPr>
                <w:i/>
                <w:iCs/>
                <w:color w:val="000000"/>
                <w:sz w:val="20"/>
                <w:szCs w:val="20"/>
              </w:rPr>
              <w:br/>
            </w:r>
            <w:r>
              <w:rPr>
                <w:rStyle w:val="nfasis"/>
                <w:color w:val="000000"/>
                <w:sz w:val="20"/>
                <w:szCs w:val="20"/>
              </w:rPr>
              <w:t xml:space="preserve">Eje 9: </w:t>
            </w:r>
            <w:r w:rsidR="00D96BA0">
              <w:rPr>
                <w:rStyle w:val="nfasis"/>
                <w:color w:val="000000"/>
                <w:sz w:val="20"/>
                <w:szCs w:val="20"/>
              </w:rPr>
              <w:t>La internacionalización de las u</w:t>
            </w:r>
            <w:r>
              <w:rPr>
                <w:rStyle w:val="nfasis"/>
                <w:color w:val="000000"/>
                <w:sz w:val="20"/>
                <w:szCs w:val="20"/>
              </w:rPr>
              <w:t>niversidades</w:t>
            </w:r>
          </w:p>
          <w:p w:rsidR="00F91204" w:rsidRDefault="00F91204" w:rsidP="00670379">
            <w:pPr>
              <w:pStyle w:val="NormalWeb"/>
              <w:spacing w:line="240" w:lineRule="atLeast"/>
              <w:rPr>
                <w:rFonts w:ascii="Verdana" w:hAnsi="Verdana"/>
                <w:color w:val="000000"/>
                <w:sz w:val="17"/>
                <w:szCs w:val="17"/>
              </w:rPr>
            </w:pPr>
          </w:p>
        </w:tc>
      </w:tr>
      <w:tr w:rsidR="00F91204" w:rsidTr="00670379">
        <w:trPr>
          <w:tblCellSpacing w:w="0" w:type="dxa"/>
        </w:trPr>
        <w:tc>
          <w:tcPr>
            <w:tcW w:w="0" w:type="auto"/>
            <w:gridSpan w:val="2"/>
            <w:shd w:val="clear" w:color="auto" w:fill="FFFFFF"/>
            <w:vAlign w:val="center"/>
            <w:hideMark/>
          </w:tcPr>
          <w:p w:rsidR="00F91204" w:rsidRDefault="00F91204" w:rsidP="00670379">
            <w:pPr>
              <w:spacing w:line="240" w:lineRule="atLeast"/>
              <w:jc w:val="center"/>
              <w:rPr>
                <w:rFonts w:ascii="Verdana" w:hAnsi="Verdana"/>
                <w:color w:val="000000"/>
                <w:sz w:val="17"/>
                <w:szCs w:val="17"/>
              </w:rPr>
            </w:pPr>
            <w:r w:rsidRPr="00741B3E">
              <w:rPr>
                <w:rFonts w:ascii="Verdana" w:hAnsi="Verdana"/>
                <w:b/>
                <w:bCs/>
                <w:color w:val="000000"/>
                <w:sz w:val="24"/>
                <w:szCs w:val="24"/>
              </w:rPr>
              <w:t xml:space="preserve">Coordinación </w:t>
            </w:r>
            <w:r>
              <w:rPr>
                <w:rFonts w:ascii="Verdana" w:hAnsi="Verdana"/>
                <w:b/>
                <w:bCs/>
                <w:color w:val="000000"/>
                <w:sz w:val="24"/>
                <w:szCs w:val="24"/>
              </w:rPr>
              <w:t>General</w:t>
            </w:r>
            <w:r w:rsidRPr="00741B3E">
              <w:rPr>
                <w:rFonts w:ascii="Verdana" w:hAnsi="Verdana"/>
                <w:color w:val="000000"/>
                <w:sz w:val="24"/>
                <w:szCs w:val="24"/>
              </w:rPr>
              <w:br/>
            </w:r>
            <w:r w:rsidRPr="00741B3E">
              <w:rPr>
                <w:rStyle w:val="apple-converted-space"/>
                <w:rFonts w:ascii="Verdana" w:hAnsi="Verdana"/>
                <w:color w:val="000000"/>
                <w:sz w:val="24"/>
                <w:szCs w:val="24"/>
              </w:rPr>
              <w:t>Nelly Mainero y Carlos Mazzola </w:t>
            </w:r>
            <w:r w:rsidRPr="00741B3E">
              <w:rPr>
                <w:rFonts w:ascii="Verdana" w:hAnsi="Verdana"/>
                <w:color w:val="000000"/>
                <w:sz w:val="24"/>
                <w:szCs w:val="24"/>
              </w:rPr>
              <w:br/>
            </w:r>
          </w:p>
        </w:tc>
      </w:tr>
    </w:tbl>
    <w:p w:rsidR="00F91204" w:rsidRDefault="00F91204" w:rsidP="00C05EB6">
      <w:pPr>
        <w:jc w:val="both"/>
        <w:rPr>
          <w:rFonts w:ascii="Times New Roman" w:eastAsia="Times New Roman" w:hAnsi="Times New Roman" w:cs="Times New Roman"/>
          <w:i/>
          <w:color w:val="222222"/>
          <w:sz w:val="24"/>
          <w:szCs w:val="24"/>
        </w:rPr>
      </w:pPr>
      <w:r w:rsidRPr="00741B3E">
        <w:rPr>
          <w:rFonts w:ascii="Times New Roman" w:eastAsia="Times New Roman" w:hAnsi="Times New Roman" w:cs="Times New Roman"/>
          <w:i/>
          <w:color w:val="222222"/>
          <w:sz w:val="24"/>
          <w:szCs w:val="24"/>
        </w:rPr>
        <w:t>A tres décadas de la recuperac</w:t>
      </w:r>
      <w:r w:rsidR="00D96BA0">
        <w:rPr>
          <w:rFonts w:ascii="Times New Roman" w:eastAsia="Times New Roman" w:hAnsi="Times New Roman" w:cs="Times New Roman"/>
          <w:i/>
          <w:color w:val="222222"/>
          <w:sz w:val="24"/>
          <w:szCs w:val="24"/>
        </w:rPr>
        <w:t xml:space="preserve">ión democrática en la Argentina </w:t>
      </w:r>
      <w:r w:rsidRPr="00741B3E">
        <w:rPr>
          <w:rFonts w:ascii="Times New Roman" w:eastAsia="Times New Roman" w:hAnsi="Times New Roman" w:cs="Times New Roman"/>
          <w:i/>
          <w:color w:val="222222"/>
          <w:sz w:val="24"/>
          <w:szCs w:val="24"/>
        </w:rPr>
        <w:t xml:space="preserve"> y de la cristalización de otros procesos de transición a la democracia en América Latina, realizamos el encuentro  </w:t>
      </w:r>
      <w:r w:rsidRPr="00741B3E">
        <w:rPr>
          <w:rFonts w:ascii="Times New Roman" w:eastAsia="Times New Roman" w:hAnsi="Times New Roman" w:cs="Times New Roman"/>
          <w:i/>
          <w:color w:val="222222"/>
          <w:sz w:val="24"/>
          <w:szCs w:val="24"/>
        </w:rPr>
        <w:lastRenderedPageBreak/>
        <w:t>el que estará orientado a reflexionar críticamente sobre los vínculos complejos entre Universidad y democracia. El séptimo encuentro implica poder dar continuidad a lo que nuestro amigo y maestro Pedro Krotsch creó y nos impulsó a sostener en pos de aportar al campo disciplinar, la Universidad y la comunidad.</w:t>
      </w:r>
    </w:p>
    <w:p w:rsidR="00F91204" w:rsidRPr="00D20588" w:rsidRDefault="00F91204" w:rsidP="00C05EB6">
      <w:pPr>
        <w:jc w:val="both"/>
        <w:rPr>
          <w:b/>
          <w:iCs/>
          <w:color w:val="222222"/>
          <w:sz w:val="24"/>
          <w:szCs w:val="24"/>
          <w:shd w:val="clear" w:color="auto" w:fill="FFFFFF"/>
        </w:rPr>
      </w:pPr>
      <w:r w:rsidRPr="00D20588">
        <w:rPr>
          <w:b/>
          <w:iCs/>
          <w:color w:val="222222"/>
          <w:sz w:val="24"/>
          <w:szCs w:val="24"/>
          <w:shd w:val="clear" w:color="auto" w:fill="FFFFFF"/>
        </w:rPr>
        <w:t>Comité Académico</w:t>
      </w:r>
    </w:p>
    <w:p w:rsidR="00F91204" w:rsidRPr="00741B3E" w:rsidRDefault="00F91204" w:rsidP="00C05EB6">
      <w:pPr>
        <w:jc w:val="both"/>
        <w:rPr>
          <w:rFonts w:ascii="Times New Roman" w:hAnsi="Times New Roman" w:cs="Times New Roman"/>
          <w:i/>
        </w:rPr>
      </w:pPr>
      <w:r>
        <w:rPr>
          <w:i/>
          <w:iCs/>
          <w:color w:val="222222"/>
          <w:shd w:val="clear" w:color="auto" w:fill="FFFFFF"/>
        </w:rPr>
        <w:t>Sonia Araujo, Denis Baranger, Sandra Carli, María Caldelari, Antonio Camou, Adriana Chiroleu, Gloria Edelstein, Norberto Fernández Lamarra, Roberto Follari, Juan Carlos Geneyro, Elisa Lucaelli, Diego Hurtado de Mendoza, Mónica Marquina, Carlos Mazzola, Nelly Mainero,</w:t>
      </w:r>
      <w:r w:rsidRPr="00106CAA">
        <w:rPr>
          <w:i/>
          <w:iCs/>
          <w:color w:val="222222"/>
          <w:shd w:val="clear" w:color="auto" w:fill="FFFFFF"/>
        </w:rPr>
        <w:t xml:space="preserve"> </w:t>
      </w:r>
      <w:r>
        <w:rPr>
          <w:i/>
          <w:iCs/>
          <w:color w:val="222222"/>
          <w:shd w:val="clear" w:color="auto" w:fill="FFFFFF"/>
        </w:rPr>
        <w:t>Fernando Napoli, Augusto Pérez Lindo, Carlos Prego, Alicia Servetto, Claudio Suasnábar,  Martín Unzué, Leonardo Vacarezza, Mariana Versino, Alicia Villagra de Burgos</w:t>
      </w:r>
      <w:r w:rsidR="00D96BA0">
        <w:rPr>
          <w:i/>
          <w:iCs/>
          <w:color w:val="222222"/>
          <w:shd w:val="clear" w:color="auto" w:fill="FFFFFF"/>
        </w:rPr>
        <w:t>.</w:t>
      </w:r>
    </w:p>
    <w:p w:rsidR="00D56DE0" w:rsidRDefault="00F91204" w:rsidP="00670379">
      <w:pPr>
        <w:rPr>
          <w:rStyle w:val="Textoennegrita"/>
          <w:szCs w:val="20"/>
        </w:rPr>
      </w:pPr>
      <w:r w:rsidRPr="00315174">
        <w:rPr>
          <w:rStyle w:val="Textoennegrita"/>
          <w:szCs w:val="20"/>
        </w:rPr>
        <w:t>El e</w:t>
      </w:r>
      <w:r>
        <w:rPr>
          <w:rStyle w:val="Textoennegrita"/>
          <w:szCs w:val="20"/>
        </w:rPr>
        <w:t>ncuentro contará</w:t>
      </w:r>
      <w:r w:rsidRPr="00315174">
        <w:rPr>
          <w:rStyle w:val="Textoennegrita"/>
          <w:szCs w:val="20"/>
        </w:rPr>
        <w:t xml:space="preserve"> con </w:t>
      </w:r>
      <w:r w:rsidR="00D96BA0">
        <w:rPr>
          <w:rStyle w:val="Textoennegrita"/>
          <w:szCs w:val="20"/>
        </w:rPr>
        <w:t xml:space="preserve">la presencia de </w:t>
      </w:r>
      <w:r w:rsidRPr="00315174">
        <w:rPr>
          <w:rStyle w:val="Textoennegrita"/>
          <w:szCs w:val="20"/>
        </w:rPr>
        <w:t>destacados académicos nacionales e internacionales cuyo modo de participación será a través de conferencias y paneles</w:t>
      </w:r>
      <w:r>
        <w:rPr>
          <w:rStyle w:val="Textoennegrita"/>
          <w:szCs w:val="20"/>
        </w:rPr>
        <w:t>,</w:t>
      </w:r>
      <w:r w:rsidRPr="00315174">
        <w:rPr>
          <w:rStyle w:val="Textoennegrita"/>
          <w:szCs w:val="20"/>
        </w:rPr>
        <w:t xml:space="preserve"> los que se llevarán a cabo todos </w:t>
      </w:r>
      <w:r w:rsidR="00D96BA0">
        <w:rPr>
          <w:rStyle w:val="Textoennegrita"/>
          <w:szCs w:val="20"/>
        </w:rPr>
        <w:t>los días del evento. H</w:t>
      </w:r>
      <w:r w:rsidRPr="00315174">
        <w:rPr>
          <w:rStyle w:val="Textoennegrita"/>
          <w:szCs w:val="20"/>
        </w:rPr>
        <w:t xml:space="preserve">abrá </w:t>
      </w:r>
      <w:r>
        <w:rPr>
          <w:rStyle w:val="Textoennegrita"/>
          <w:szCs w:val="20"/>
        </w:rPr>
        <w:t>espacio para las tradicionales</w:t>
      </w:r>
      <w:r w:rsidRPr="00315174">
        <w:rPr>
          <w:rStyle w:val="Textoennegrita"/>
          <w:szCs w:val="20"/>
        </w:rPr>
        <w:t xml:space="preserve"> ponencias</w:t>
      </w:r>
      <w:r w:rsidR="00D96BA0">
        <w:rPr>
          <w:rStyle w:val="Textoennegrita"/>
          <w:szCs w:val="20"/>
        </w:rPr>
        <w:t xml:space="preserve"> en relación con los ejes temáticos. Se desarrollarán </w:t>
      </w:r>
      <w:r w:rsidR="00C12D0B">
        <w:rPr>
          <w:rStyle w:val="Textoennegrita"/>
          <w:szCs w:val="20"/>
        </w:rPr>
        <w:t>f</w:t>
      </w:r>
      <w:r w:rsidR="00D96BA0">
        <w:rPr>
          <w:rStyle w:val="Textoennegrita"/>
          <w:szCs w:val="20"/>
        </w:rPr>
        <w:t xml:space="preserve">oros temáticos, coordinados por especialistas, </w:t>
      </w:r>
      <w:r w:rsidRPr="00315174">
        <w:rPr>
          <w:rStyle w:val="Textoennegrita"/>
          <w:szCs w:val="20"/>
        </w:rPr>
        <w:t xml:space="preserve">los </w:t>
      </w:r>
      <w:r w:rsidR="00D96BA0">
        <w:rPr>
          <w:rStyle w:val="Textoennegrita"/>
          <w:szCs w:val="20"/>
        </w:rPr>
        <w:t xml:space="preserve">que tendrán </w:t>
      </w:r>
      <w:r w:rsidRPr="00315174">
        <w:rPr>
          <w:rStyle w:val="Textoennegrita"/>
          <w:szCs w:val="20"/>
        </w:rPr>
        <w:t xml:space="preserve"> por objetivo debatir</w:t>
      </w:r>
      <w:r w:rsidR="00D96BA0">
        <w:rPr>
          <w:rStyle w:val="Textoennegrita"/>
          <w:szCs w:val="20"/>
        </w:rPr>
        <w:t xml:space="preserve"> entre los</w:t>
      </w:r>
      <w:r w:rsidRPr="00315174">
        <w:rPr>
          <w:rStyle w:val="Textoennegrita"/>
          <w:szCs w:val="20"/>
        </w:rPr>
        <w:t xml:space="preserve"> participantes</w:t>
      </w:r>
      <w:r w:rsidR="00D96BA0">
        <w:rPr>
          <w:rStyle w:val="Textoennegrita"/>
          <w:szCs w:val="20"/>
        </w:rPr>
        <w:t xml:space="preserve"> </w:t>
      </w:r>
      <w:r w:rsidRPr="00315174">
        <w:rPr>
          <w:rStyle w:val="Textoennegrita"/>
          <w:szCs w:val="20"/>
        </w:rPr>
        <w:t xml:space="preserve"> sobre determinados temas que son de relevancia para el campo de la universidad como </w:t>
      </w:r>
      <w:r>
        <w:rPr>
          <w:rStyle w:val="Textoennegrita"/>
          <w:szCs w:val="20"/>
        </w:rPr>
        <w:t xml:space="preserve">construcción </w:t>
      </w:r>
      <w:r w:rsidRPr="00315174">
        <w:rPr>
          <w:rStyle w:val="Textoennegrita"/>
          <w:szCs w:val="20"/>
        </w:rPr>
        <w:t xml:space="preserve">disciplinar.  </w:t>
      </w:r>
      <w:r w:rsidR="00D96BA0">
        <w:rPr>
          <w:rStyle w:val="Textoennegrita"/>
          <w:szCs w:val="20"/>
        </w:rPr>
        <w:t xml:space="preserve">Asimismo se dedicará un espacio a las </w:t>
      </w:r>
      <w:r w:rsidRPr="00315174">
        <w:rPr>
          <w:rStyle w:val="Textoennegrita"/>
          <w:szCs w:val="20"/>
        </w:rPr>
        <w:t xml:space="preserve"> presentaci</w:t>
      </w:r>
      <w:r>
        <w:rPr>
          <w:rStyle w:val="Textoennegrita"/>
          <w:szCs w:val="20"/>
        </w:rPr>
        <w:t>ones</w:t>
      </w:r>
      <w:r w:rsidRPr="00315174">
        <w:rPr>
          <w:rStyle w:val="Textoennegrita"/>
          <w:szCs w:val="20"/>
        </w:rPr>
        <w:t xml:space="preserve"> de libros</w:t>
      </w:r>
      <w:r>
        <w:rPr>
          <w:rStyle w:val="Textoennegrita"/>
          <w:szCs w:val="20"/>
        </w:rPr>
        <w:t xml:space="preserve"> sobre la </w:t>
      </w:r>
      <w:r w:rsidR="00D96BA0">
        <w:rPr>
          <w:rStyle w:val="Textoennegrita"/>
          <w:szCs w:val="20"/>
        </w:rPr>
        <w:t xml:space="preserve">universidad y la </w:t>
      </w:r>
      <w:r>
        <w:rPr>
          <w:rStyle w:val="Textoennegrita"/>
          <w:szCs w:val="20"/>
        </w:rPr>
        <w:t xml:space="preserve">educación superior. </w:t>
      </w:r>
    </w:p>
    <w:p w:rsidR="009075CD" w:rsidRPr="00EE16BC" w:rsidRDefault="009075CD" w:rsidP="00670379">
      <w:pPr>
        <w:rPr>
          <w:rStyle w:val="Textoennegrita"/>
          <w:szCs w:val="20"/>
        </w:rPr>
      </w:pPr>
      <w:r w:rsidRPr="00EE16BC">
        <w:rPr>
          <w:rStyle w:val="Textoennegrita"/>
          <w:szCs w:val="20"/>
        </w:rPr>
        <w:t xml:space="preserve">Se prevé la entrega del Libro de Resúmenes y de un CD con los trabajos completos de todos los participantes, los que serán entregados en el momento de la acreditación al Encuentro. </w:t>
      </w:r>
    </w:p>
    <w:p w:rsidR="00F91204" w:rsidRPr="00315174" w:rsidRDefault="00D56DE0" w:rsidP="00670379">
      <w:pPr>
        <w:rPr>
          <w:rStyle w:val="Textoennegrita"/>
          <w:b w:val="0"/>
          <w:bCs w:val="0"/>
          <w:szCs w:val="20"/>
        </w:rPr>
      </w:pPr>
      <w:r>
        <w:rPr>
          <w:rStyle w:val="Textoennegrita"/>
          <w:szCs w:val="20"/>
        </w:rPr>
        <w:t xml:space="preserve">En la noche del jueves se realizará </w:t>
      </w:r>
      <w:r w:rsidR="00F91204">
        <w:rPr>
          <w:rStyle w:val="Textoennegrita"/>
          <w:szCs w:val="20"/>
        </w:rPr>
        <w:t>un</w:t>
      </w:r>
      <w:r w:rsidR="00F91204" w:rsidRPr="00315174">
        <w:rPr>
          <w:rStyle w:val="Textoennegrita"/>
          <w:szCs w:val="20"/>
        </w:rPr>
        <w:t xml:space="preserve"> agasaj</w:t>
      </w:r>
      <w:r>
        <w:rPr>
          <w:rStyle w:val="Textoennegrita"/>
          <w:szCs w:val="20"/>
        </w:rPr>
        <w:t>o de bienvenida,  sin costo</w:t>
      </w:r>
      <w:r w:rsidR="00F91204">
        <w:rPr>
          <w:rStyle w:val="Textoennegrita"/>
          <w:szCs w:val="20"/>
        </w:rPr>
        <w:t xml:space="preserve"> </w:t>
      </w:r>
      <w:r w:rsidR="00F91204" w:rsidRPr="00315174">
        <w:rPr>
          <w:rStyle w:val="Textoennegrita"/>
          <w:szCs w:val="20"/>
        </w:rPr>
        <w:t xml:space="preserve"> para todos los inscriptos.</w:t>
      </w:r>
    </w:p>
    <w:p w:rsidR="00F91204" w:rsidRPr="00985578" w:rsidRDefault="00F91204" w:rsidP="00F91204">
      <w:pPr>
        <w:pStyle w:val="Ttulo1"/>
        <w:rPr>
          <w:rFonts w:ascii="Times New Roman" w:eastAsia="Times New Roman" w:hAnsi="Times New Roman" w:cs="Times New Roman"/>
          <w:lang w:eastAsia="es-ES"/>
        </w:rPr>
      </w:pPr>
      <w:r w:rsidRPr="00985578">
        <w:rPr>
          <w:rFonts w:ascii="Times New Roman" w:eastAsia="Times New Roman" w:hAnsi="Times New Roman" w:cs="Times New Roman"/>
          <w:lang w:eastAsia="es-ES"/>
        </w:rPr>
        <w:t>Presentación de ponencia</w:t>
      </w:r>
      <w:r w:rsidR="009075CD">
        <w:rPr>
          <w:rFonts w:ascii="Times New Roman" w:eastAsia="Times New Roman" w:hAnsi="Times New Roman" w:cs="Times New Roman"/>
          <w:lang w:eastAsia="es-ES"/>
        </w:rPr>
        <w:t>s</w:t>
      </w:r>
      <w:r w:rsidRPr="00985578">
        <w:rPr>
          <w:rFonts w:ascii="Times New Roman" w:eastAsia="Times New Roman" w:hAnsi="Times New Roman" w:cs="Times New Roman"/>
          <w:lang w:eastAsia="es-ES"/>
        </w:rPr>
        <w:t>: Fecha y forma</w:t>
      </w:r>
    </w:p>
    <w:p w:rsidR="00F91204" w:rsidRPr="00985578" w:rsidRDefault="00F91204" w:rsidP="00F91204">
      <w:pPr>
        <w:jc w:val="both"/>
        <w:rPr>
          <w:rFonts w:ascii="Times New Roman" w:eastAsia="Times New Roman" w:hAnsi="Times New Roman" w:cs="Times New Roman"/>
          <w:bCs/>
          <w:sz w:val="24"/>
          <w:szCs w:val="24"/>
          <w:lang w:eastAsia="es-ES"/>
        </w:rPr>
      </w:pPr>
      <w:r w:rsidRPr="00985578">
        <w:rPr>
          <w:rFonts w:ascii="Times New Roman" w:eastAsia="Times New Roman" w:hAnsi="Times New Roman" w:cs="Times New Roman"/>
          <w:bCs/>
          <w:sz w:val="24"/>
          <w:szCs w:val="24"/>
          <w:lang w:eastAsia="es-ES"/>
        </w:rPr>
        <w:t>L</w:t>
      </w:r>
      <w:r w:rsidR="009075CD">
        <w:rPr>
          <w:rFonts w:ascii="Times New Roman" w:eastAsia="Times New Roman" w:hAnsi="Times New Roman" w:cs="Times New Roman"/>
          <w:bCs/>
          <w:sz w:val="24"/>
          <w:szCs w:val="24"/>
          <w:lang w:eastAsia="es-ES"/>
        </w:rPr>
        <w:t xml:space="preserve">as ponencias completas deberán enviarse </w:t>
      </w:r>
      <w:r w:rsidRPr="00985578">
        <w:rPr>
          <w:rFonts w:ascii="Times New Roman" w:eastAsia="Times New Roman" w:hAnsi="Times New Roman" w:cs="Times New Roman"/>
          <w:bCs/>
          <w:sz w:val="24"/>
          <w:szCs w:val="24"/>
          <w:lang w:eastAsia="es-ES"/>
        </w:rPr>
        <w:t xml:space="preserve"> jun</w:t>
      </w:r>
      <w:r w:rsidR="009075CD">
        <w:rPr>
          <w:rFonts w:ascii="Times New Roman" w:eastAsia="Times New Roman" w:hAnsi="Times New Roman" w:cs="Times New Roman"/>
          <w:bCs/>
          <w:sz w:val="24"/>
          <w:szCs w:val="24"/>
          <w:lang w:eastAsia="es-ES"/>
        </w:rPr>
        <w:t xml:space="preserve">to al resumen (en un único envío), </w:t>
      </w:r>
      <w:r w:rsidRPr="00985578">
        <w:rPr>
          <w:rFonts w:ascii="Times New Roman" w:eastAsia="Times New Roman" w:hAnsi="Times New Roman" w:cs="Times New Roman"/>
          <w:bCs/>
          <w:sz w:val="24"/>
          <w:szCs w:val="24"/>
          <w:lang w:eastAsia="es-ES"/>
        </w:rPr>
        <w:t xml:space="preserve"> antes del</w:t>
      </w:r>
      <w:r w:rsidRPr="00985578">
        <w:rPr>
          <w:rFonts w:ascii="Times New Roman" w:eastAsia="Times New Roman" w:hAnsi="Times New Roman" w:cs="Times New Roman"/>
          <w:b/>
          <w:bCs/>
          <w:sz w:val="24"/>
          <w:szCs w:val="24"/>
          <w:lang w:eastAsia="es-ES"/>
        </w:rPr>
        <w:t xml:space="preserve"> 14 de junio de 2013</w:t>
      </w:r>
      <w:r w:rsidR="009075CD">
        <w:rPr>
          <w:rFonts w:ascii="Times New Roman" w:eastAsia="Times New Roman" w:hAnsi="Times New Roman" w:cs="Times New Roman"/>
          <w:b/>
          <w:bCs/>
          <w:sz w:val="24"/>
          <w:szCs w:val="24"/>
          <w:lang w:eastAsia="es-ES"/>
        </w:rPr>
        <w:t xml:space="preserve">, a la siguiente dirección electrónica: </w:t>
      </w:r>
      <w:r>
        <w:rPr>
          <w:rFonts w:ascii="Times New Roman" w:eastAsia="Times New Roman" w:hAnsi="Times New Roman" w:cs="Times New Roman"/>
          <w:b/>
          <w:bCs/>
          <w:sz w:val="24"/>
          <w:szCs w:val="24"/>
          <w:lang w:eastAsia="es-ES"/>
        </w:rPr>
        <w:t xml:space="preserve"> </w:t>
      </w:r>
      <w:hyperlink r:id="rId8" w:history="1">
        <w:r w:rsidRPr="00656B25">
          <w:rPr>
            <w:rStyle w:val="Hipervnculo"/>
            <w:rFonts w:ascii="Times New Roman" w:eastAsia="Times New Roman" w:hAnsi="Times New Roman" w:cs="Times New Roman"/>
            <w:sz w:val="24"/>
            <w:szCs w:val="24"/>
            <w:lang w:eastAsia="es-ES"/>
          </w:rPr>
          <w:t>encuentro7@unsl.edu.ar</w:t>
        </w:r>
      </w:hyperlink>
      <w:r>
        <w:rPr>
          <w:rFonts w:ascii="Times New Roman" w:eastAsia="Times New Roman" w:hAnsi="Times New Roman" w:cs="Times New Roman"/>
          <w:b/>
          <w:bCs/>
          <w:sz w:val="24"/>
          <w:szCs w:val="24"/>
          <w:lang w:eastAsia="es-ES"/>
        </w:rPr>
        <w:t xml:space="preserve">  </w:t>
      </w:r>
    </w:p>
    <w:p w:rsidR="00F91204" w:rsidRPr="00985578" w:rsidRDefault="000E1465" w:rsidP="00F91204">
      <w:pPr>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Podrán</w:t>
      </w:r>
      <w:r w:rsidR="00F91204" w:rsidRPr="00985578">
        <w:rPr>
          <w:rFonts w:ascii="Times New Roman" w:eastAsia="Times New Roman" w:hAnsi="Times New Roman" w:cs="Times New Roman"/>
          <w:bCs/>
          <w:sz w:val="24"/>
          <w:szCs w:val="24"/>
          <w:lang w:eastAsia="es-ES"/>
        </w:rPr>
        <w:t xml:space="preserve"> ser presentadas en español </w:t>
      </w:r>
      <w:r>
        <w:rPr>
          <w:rFonts w:ascii="Times New Roman" w:eastAsia="Times New Roman" w:hAnsi="Times New Roman" w:cs="Times New Roman"/>
          <w:bCs/>
          <w:sz w:val="24"/>
          <w:szCs w:val="24"/>
          <w:lang w:eastAsia="es-ES"/>
        </w:rPr>
        <w:t>o</w:t>
      </w:r>
      <w:r w:rsidR="00F91204" w:rsidRPr="00985578">
        <w:rPr>
          <w:rFonts w:ascii="Times New Roman" w:eastAsia="Times New Roman" w:hAnsi="Times New Roman" w:cs="Times New Roman"/>
          <w:bCs/>
          <w:sz w:val="24"/>
          <w:szCs w:val="24"/>
          <w:lang w:eastAsia="es-ES"/>
        </w:rPr>
        <w:t xml:space="preserve"> en portugués y en formato de procesador de texto Word con una extensión de entre 5.000 a 8.000 palabras incluyendo notas y bibliografía.</w:t>
      </w:r>
    </w:p>
    <w:p w:rsidR="00F91204" w:rsidRPr="00985578" w:rsidRDefault="00F91204" w:rsidP="00F91204">
      <w:pPr>
        <w:pStyle w:val="Prrafodelista"/>
        <w:numPr>
          <w:ilvl w:val="0"/>
          <w:numId w:val="1"/>
        </w:numPr>
        <w:jc w:val="both"/>
        <w:rPr>
          <w:rFonts w:ascii="Times New Roman" w:eastAsia="Times New Roman" w:hAnsi="Times New Roman"/>
          <w:bCs/>
          <w:sz w:val="24"/>
          <w:szCs w:val="24"/>
          <w:lang w:eastAsia="es-ES"/>
        </w:rPr>
      </w:pPr>
      <w:r w:rsidRPr="00985578">
        <w:rPr>
          <w:rFonts w:ascii="Times New Roman" w:eastAsia="Times New Roman" w:hAnsi="Times New Roman"/>
          <w:bCs/>
          <w:sz w:val="24"/>
          <w:szCs w:val="24"/>
          <w:lang w:eastAsia="es-ES"/>
        </w:rPr>
        <w:t>Tipo y tamaño de fuente : 12 Times New Román</w:t>
      </w:r>
    </w:p>
    <w:p w:rsidR="00F91204" w:rsidRPr="00985578" w:rsidRDefault="00F91204" w:rsidP="00F91204">
      <w:pPr>
        <w:pStyle w:val="Prrafodelista"/>
        <w:numPr>
          <w:ilvl w:val="0"/>
          <w:numId w:val="1"/>
        </w:numPr>
        <w:jc w:val="both"/>
        <w:rPr>
          <w:rFonts w:ascii="Times New Roman" w:eastAsia="Times New Roman" w:hAnsi="Times New Roman"/>
          <w:bCs/>
          <w:sz w:val="24"/>
          <w:szCs w:val="24"/>
          <w:lang w:eastAsia="es-ES"/>
        </w:rPr>
      </w:pPr>
      <w:r w:rsidRPr="00985578">
        <w:rPr>
          <w:rFonts w:ascii="Times New Roman" w:eastAsia="Times New Roman" w:hAnsi="Times New Roman"/>
          <w:bCs/>
          <w:sz w:val="24"/>
          <w:szCs w:val="24"/>
          <w:lang w:eastAsia="es-ES"/>
        </w:rPr>
        <w:t>Márgenes: 2,5 cm superior e inferior y 3 para derecho e izquierdo</w:t>
      </w:r>
    </w:p>
    <w:p w:rsidR="00F91204" w:rsidRPr="00985578" w:rsidRDefault="00F91204" w:rsidP="00F91204">
      <w:pPr>
        <w:pStyle w:val="Prrafodelista"/>
        <w:numPr>
          <w:ilvl w:val="0"/>
          <w:numId w:val="1"/>
        </w:numPr>
        <w:jc w:val="both"/>
        <w:rPr>
          <w:rFonts w:ascii="Times New Roman" w:eastAsia="Times New Roman" w:hAnsi="Times New Roman"/>
          <w:bCs/>
          <w:sz w:val="24"/>
          <w:szCs w:val="24"/>
          <w:lang w:eastAsia="es-ES"/>
        </w:rPr>
      </w:pPr>
      <w:r w:rsidRPr="00985578">
        <w:rPr>
          <w:rFonts w:ascii="Times New Roman" w:eastAsia="Times New Roman" w:hAnsi="Times New Roman"/>
          <w:bCs/>
          <w:sz w:val="24"/>
          <w:szCs w:val="24"/>
          <w:lang w:eastAsia="es-ES"/>
        </w:rPr>
        <w:t>Interlineado: 1,5</w:t>
      </w:r>
    </w:p>
    <w:p w:rsidR="00F91204" w:rsidRPr="00985578" w:rsidRDefault="00F91204" w:rsidP="00F91204">
      <w:pPr>
        <w:pStyle w:val="Prrafodelista"/>
        <w:numPr>
          <w:ilvl w:val="0"/>
          <w:numId w:val="1"/>
        </w:numPr>
        <w:jc w:val="both"/>
        <w:rPr>
          <w:rFonts w:ascii="Times New Roman" w:eastAsia="Times New Roman" w:hAnsi="Times New Roman"/>
          <w:bCs/>
          <w:sz w:val="24"/>
          <w:szCs w:val="24"/>
          <w:lang w:eastAsia="es-ES"/>
        </w:rPr>
      </w:pPr>
      <w:r w:rsidRPr="00985578">
        <w:rPr>
          <w:rFonts w:ascii="Times New Roman" w:eastAsia="Times New Roman" w:hAnsi="Times New Roman"/>
          <w:bCs/>
          <w:sz w:val="24"/>
          <w:szCs w:val="24"/>
          <w:lang w:eastAsia="es-ES"/>
        </w:rPr>
        <w:t>NOTAS enumeradas consecutivas al final del texto</w:t>
      </w:r>
    </w:p>
    <w:p w:rsidR="00F91204" w:rsidRPr="00985578" w:rsidRDefault="00F91204" w:rsidP="00F91204">
      <w:pPr>
        <w:ind w:left="360"/>
        <w:jc w:val="both"/>
        <w:rPr>
          <w:rFonts w:ascii="Times New Roman" w:eastAsia="Times New Roman" w:hAnsi="Times New Roman" w:cs="Times New Roman"/>
          <w:bCs/>
          <w:sz w:val="24"/>
          <w:szCs w:val="24"/>
          <w:lang w:eastAsia="es-ES"/>
        </w:rPr>
      </w:pPr>
      <w:r w:rsidRPr="00985578">
        <w:rPr>
          <w:rFonts w:ascii="Times New Roman" w:eastAsia="Times New Roman" w:hAnsi="Times New Roman" w:cs="Times New Roman"/>
          <w:bCs/>
          <w:sz w:val="24"/>
          <w:szCs w:val="24"/>
          <w:lang w:eastAsia="es-ES"/>
        </w:rPr>
        <w:t>En todos los casos, la extensión delimitada incluirá notas, anexos, referencias, bibliografía y elementos gráficos. Las citas deben seguir el estilo de las normas American Psy</w:t>
      </w:r>
      <w:r w:rsidR="009075CD">
        <w:rPr>
          <w:rFonts w:ascii="Times New Roman" w:eastAsia="Times New Roman" w:hAnsi="Times New Roman" w:cs="Times New Roman"/>
          <w:bCs/>
          <w:sz w:val="24"/>
          <w:szCs w:val="24"/>
          <w:lang w:eastAsia="es-ES"/>
        </w:rPr>
        <w:t>chological Associations (APA). U</w:t>
      </w:r>
      <w:r w:rsidRPr="00985578">
        <w:rPr>
          <w:rFonts w:ascii="Times New Roman" w:eastAsia="Times New Roman" w:hAnsi="Times New Roman" w:cs="Times New Roman"/>
          <w:bCs/>
          <w:sz w:val="24"/>
          <w:szCs w:val="24"/>
          <w:lang w:eastAsia="es-ES"/>
        </w:rPr>
        <w:t xml:space="preserve">na síntesis de cómo realizar esta forma de cita se encuentra en </w:t>
      </w:r>
      <w:hyperlink r:id="rId9" w:history="1">
        <w:r w:rsidRPr="00985578">
          <w:rPr>
            <w:rStyle w:val="Hipervnculo"/>
            <w:rFonts w:ascii="Times New Roman" w:eastAsia="Times New Roman" w:hAnsi="Times New Roman" w:cs="Times New Roman"/>
            <w:sz w:val="24"/>
            <w:szCs w:val="24"/>
            <w:lang w:eastAsia="es-ES"/>
          </w:rPr>
          <w:t>http://lia.unet.edu.ve/ant/EstiloAPA.htm</w:t>
        </w:r>
      </w:hyperlink>
      <w:r w:rsidRPr="00985578">
        <w:rPr>
          <w:rFonts w:ascii="Times New Roman" w:eastAsia="Times New Roman" w:hAnsi="Times New Roman" w:cs="Times New Roman"/>
          <w:bCs/>
          <w:sz w:val="24"/>
          <w:szCs w:val="24"/>
          <w:lang w:eastAsia="es-ES"/>
        </w:rPr>
        <w:t xml:space="preserve"> </w:t>
      </w:r>
    </w:p>
    <w:p w:rsidR="00F91204" w:rsidRPr="00C05EB6" w:rsidRDefault="00F91204" w:rsidP="00F91204">
      <w:pPr>
        <w:ind w:left="360"/>
        <w:jc w:val="both"/>
        <w:rPr>
          <w:rFonts w:ascii="Times New Roman" w:eastAsia="Times New Roman" w:hAnsi="Times New Roman" w:cs="Times New Roman"/>
          <w:b/>
          <w:bCs/>
          <w:sz w:val="24"/>
          <w:szCs w:val="24"/>
          <w:lang w:eastAsia="es-ES"/>
        </w:rPr>
      </w:pPr>
      <w:r w:rsidRPr="00C05EB6">
        <w:rPr>
          <w:rFonts w:ascii="Times New Roman" w:eastAsia="Times New Roman" w:hAnsi="Times New Roman" w:cs="Times New Roman"/>
          <w:b/>
          <w:bCs/>
          <w:sz w:val="24"/>
          <w:szCs w:val="24"/>
          <w:lang w:eastAsia="es-ES"/>
        </w:rPr>
        <w:t>La no inclusión de estas normas será motivo de revisión</w:t>
      </w:r>
      <w:r w:rsidR="009075CD" w:rsidRPr="00C05EB6">
        <w:rPr>
          <w:rFonts w:ascii="Times New Roman" w:eastAsia="Times New Roman" w:hAnsi="Times New Roman" w:cs="Times New Roman"/>
          <w:b/>
          <w:bCs/>
          <w:sz w:val="24"/>
          <w:szCs w:val="24"/>
          <w:lang w:eastAsia="es-ES"/>
        </w:rPr>
        <w:t>.</w:t>
      </w:r>
    </w:p>
    <w:p w:rsidR="009075CD" w:rsidRPr="00985578" w:rsidRDefault="009075CD" w:rsidP="00F91204">
      <w:pPr>
        <w:ind w:left="360"/>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lastRenderedPageBreak/>
        <w:t>Una vez evaluadas, la coordinación enviará a los autores la confirmación de la aceptación, solicitud de revisión</w:t>
      </w:r>
      <w:r w:rsidR="007417E5">
        <w:rPr>
          <w:rFonts w:ascii="Times New Roman" w:eastAsia="Times New Roman" w:hAnsi="Times New Roman" w:cs="Times New Roman"/>
          <w:bCs/>
          <w:sz w:val="24"/>
          <w:szCs w:val="24"/>
          <w:lang w:eastAsia="es-ES"/>
        </w:rPr>
        <w:t>, etc.</w:t>
      </w:r>
    </w:p>
    <w:p w:rsidR="00F91204" w:rsidRPr="00985578" w:rsidRDefault="00F91204" w:rsidP="00F91204">
      <w:pPr>
        <w:pStyle w:val="Ttulo1"/>
        <w:rPr>
          <w:rFonts w:ascii="Times New Roman" w:eastAsia="Times New Roman" w:hAnsi="Times New Roman" w:cs="Times New Roman"/>
          <w:lang w:eastAsia="es-ES"/>
        </w:rPr>
      </w:pPr>
      <w:r w:rsidRPr="00985578">
        <w:rPr>
          <w:rFonts w:ascii="Times New Roman" w:eastAsia="Times New Roman" w:hAnsi="Times New Roman" w:cs="Times New Roman"/>
          <w:lang w:eastAsia="es-ES"/>
        </w:rPr>
        <w:t>Envío de artículos y documentación</w:t>
      </w:r>
    </w:p>
    <w:p w:rsidR="00F91204" w:rsidRPr="00985578" w:rsidRDefault="00F91204" w:rsidP="00F91204">
      <w:pPr>
        <w:pStyle w:val="Prrafodelista"/>
        <w:numPr>
          <w:ilvl w:val="0"/>
          <w:numId w:val="2"/>
        </w:numPr>
        <w:jc w:val="both"/>
        <w:rPr>
          <w:rFonts w:ascii="Times New Roman" w:eastAsia="Times New Roman" w:hAnsi="Times New Roman"/>
          <w:bCs/>
          <w:sz w:val="24"/>
          <w:szCs w:val="24"/>
          <w:lang w:eastAsia="es-ES"/>
        </w:rPr>
      </w:pPr>
      <w:r w:rsidRPr="00985578">
        <w:rPr>
          <w:rFonts w:ascii="Times New Roman" w:eastAsia="Times New Roman" w:hAnsi="Times New Roman"/>
          <w:bCs/>
          <w:sz w:val="24"/>
          <w:szCs w:val="24"/>
          <w:lang w:eastAsia="es-ES"/>
        </w:rPr>
        <w:t>Título de la ponencia</w:t>
      </w:r>
    </w:p>
    <w:p w:rsidR="00F91204" w:rsidRPr="00985578" w:rsidRDefault="00F91204" w:rsidP="00F91204">
      <w:pPr>
        <w:pStyle w:val="Prrafodelista"/>
        <w:numPr>
          <w:ilvl w:val="0"/>
          <w:numId w:val="2"/>
        </w:numPr>
        <w:jc w:val="both"/>
        <w:rPr>
          <w:rFonts w:ascii="Times New Roman" w:eastAsia="Times New Roman" w:hAnsi="Times New Roman"/>
          <w:bCs/>
          <w:sz w:val="24"/>
          <w:szCs w:val="24"/>
          <w:lang w:eastAsia="es-ES"/>
        </w:rPr>
      </w:pPr>
      <w:r w:rsidRPr="00985578">
        <w:rPr>
          <w:rFonts w:ascii="Times New Roman" w:eastAsia="Times New Roman" w:hAnsi="Times New Roman"/>
          <w:bCs/>
          <w:sz w:val="24"/>
          <w:szCs w:val="24"/>
          <w:lang w:eastAsia="es-ES"/>
        </w:rPr>
        <w:t>Nombre/s de/los autor/es (no más de cuatro autores por trabajo)</w:t>
      </w:r>
    </w:p>
    <w:p w:rsidR="00F91204" w:rsidRPr="00985578" w:rsidRDefault="00F91204" w:rsidP="00F91204">
      <w:pPr>
        <w:pStyle w:val="Prrafodelista"/>
        <w:numPr>
          <w:ilvl w:val="0"/>
          <w:numId w:val="2"/>
        </w:numPr>
        <w:jc w:val="both"/>
        <w:rPr>
          <w:rFonts w:ascii="Times New Roman" w:eastAsia="Times New Roman" w:hAnsi="Times New Roman"/>
          <w:bCs/>
          <w:sz w:val="24"/>
          <w:szCs w:val="24"/>
          <w:lang w:eastAsia="es-ES"/>
        </w:rPr>
      </w:pPr>
      <w:r w:rsidRPr="00985578">
        <w:rPr>
          <w:rFonts w:ascii="Times New Roman" w:eastAsia="Times New Roman" w:hAnsi="Times New Roman"/>
          <w:bCs/>
          <w:sz w:val="24"/>
          <w:szCs w:val="24"/>
          <w:lang w:eastAsia="es-ES"/>
        </w:rPr>
        <w:t xml:space="preserve">Eje de inclusión del trabajo </w:t>
      </w:r>
      <w:r w:rsidRPr="00985578">
        <w:rPr>
          <w:rFonts w:ascii="Times New Roman" w:eastAsia="Times New Roman" w:hAnsi="Times New Roman"/>
          <w:b/>
          <w:bCs/>
          <w:sz w:val="24"/>
          <w:szCs w:val="24"/>
          <w:lang w:eastAsia="es-ES"/>
        </w:rPr>
        <w:t>(Deben considerarse los ejes señalados a partir de la segunda circular</w:t>
      </w:r>
      <w:r w:rsidRPr="00985578">
        <w:rPr>
          <w:rFonts w:ascii="Times New Roman" w:eastAsia="Times New Roman" w:hAnsi="Times New Roman"/>
          <w:bCs/>
          <w:sz w:val="24"/>
          <w:szCs w:val="24"/>
          <w:lang w:eastAsia="es-ES"/>
        </w:rPr>
        <w:t>, en tanto que hubo modificaciones a los mencionados en la primera)</w:t>
      </w:r>
    </w:p>
    <w:p w:rsidR="00F91204" w:rsidRPr="00985578" w:rsidRDefault="00F91204" w:rsidP="00F91204">
      <w:pPr>
        <w:pStyle w:val="Prrafodelista"/>
        <w:numPr>
          <w:ilvl w:val="0"/>
          <w:numId w:val="2"/>
        </w:numPr>
        <w:jc w:val="both"/>
        <w:rPr>
          <w:rFonts w:ascii="Times New Roman" w:eastAsia="Times New Roman" w:hAnsi="Times New Roman"/>
          <w:bCs/>
          <w:sz w:val="24"/>
          <w:szCs w:val="24"/>
          <w:lang w:eastAsia="es-ES"/>
        </w:rPr>
      </w:pPr>
      <w:r w:rsidRPr="00985578">
        <w:rPr>
          <w:rFonts w:ascii="Times New Roman" w:eastAsia="Times New Roman" w:hAnsi="Times New Roman"/>
          <w:bCs/>
          <w:sz w:val="24"/>
          <w:szCs w:val="24"/>
          <w:lang w:eastAsia="es-ES"/>
        </w:rPr>
        <w:t>Institución de pertenencia ( de trabajo o estudio)</w:t>
      </w:r>
    </w:p>
    <w:p w:rsidR="00F91204" w:rsidRPr="00985578" w:rsidRDefault="00F91204" w:rsidP="00F91204">
      <w:pPr>
        <w:pStyle w:val="Prrafodelista"/>
        <w:numPr>
          <w:ilvl w:val="0"/>
          <w:numId w:val="2"/>
        </w:numPr>
        <w:jc w:val="both"/>
        <w:rPr>
          <w:rFonts w:ascii="Times New Roman" w:hAnsi="Times New Roman"/>
          <w:sz w:val="24"/>
          <w:szCs w:val="24"/>
        </w:rPr>
      </w:pPr>
      <w:r w:rsidRPr="00985578">
        <w:rPr>
          <w:rFonts w:ascii="Times New Roman" w:eastAsia="Times New Roman" w:hAnsi="Times New Roman"/>
          <w:bCs/>
          <w:sz w:val="24"/>
          <w:szCs w:val="24"/>
          <w:lang w:eastAsia="es-ES"/>
        </w:rPr>
        <w:t xml:space="preserve">Correo electrónico (de todos los autores) </w:t>
      </w:r>
    </w:p>
    <w:p w:rsidR="00F91204" w:rsidRDefault="00F91204" w:rsidP="00F91204">
      <w:pPr>
        <w:pStyle w:val="Prrafodelista"/>
      </w:pPr>
    </w:p>
    <w:p w:rsidR="00F91204" w:rsidRDefault="00F91204" w:rsidP="00F91204">
      <w:pPr>
        <w:pStyle w:val="Prrafodelista"/>
      </w:pPr>
    </w:p>
    <w:p w:rsidR="00F91204" w:rsidRDefault="00F91204" w:rsidP="00F91204">
      <w:r w:rsidRPr="00492BF6">
        <w:rPr>
          <w:rStyle w:val="Ttulo1Car"/>
        </w:rPr>
        <w:t>FICHA DE INSCRIPCIÓN</w:t>
      </w:r>
      <w:r>
        <w:t xml:space="preserve"> (Esta información es importante a los efectos de las certificaciones)</w:t>
      </w:r>
      <w:r w:rsidR="00C05EB6">
        <w:t xml:space="preserve"> Debe enviarse junto a la ponencia a </w:t>
      </w:r>
      <w:hyperlink r:id="rId10" w:history="1">
        <w:r w:rsidR="00C05EB6" w:rsidRPr="00656B25">
          <w:rPr>
            <w:rStyle w:val="Hipervnculo"/>
            <w:rFonts w:ascii="Times New Roman" w:hAnsi="Times New Roman" w:cs="Times New Roman"/>
          </w:rPr>
          <w:t>encuentro7@unsl.edu.ar</w:t>
        </w:r>
      </w:hyperlink>
      <w:r w:rsidR="00C05EB6">
        <w:t xml:space="preserve"> </w:t>
      </w:r>
    </w:p>
    <w:tbl>
      <w:tblPr>
        <w:tblStyle w:val="Tablaconcuadrcula"/>
        <w:tblW w:w="0" w:type="auto"/>
        <w:tblLook w:val="04A0"/>
      </w:tblPr>
      <w:tblGrid>
        <w:gridCol w:w="8897"/>
      </w:tblGrid>
      <w:tr w:rsidR="00F91204" w:rsidRPr="000C2C56" w:rsidTr="009B48E3">
        <w:tc>
          <w:tcPr>
            <w:tcW w:w="8897" w:type="dxa"/>
          </w:tcPr>
          <w:p w:rsidR="00F91204" w:rsidRPr="000C2C56" w:rsidRDefault="00F91204" w:rsidP="009B48E3">
            <w:pPr>
              <w:rPr>
                <w:rFonts w:ascii="Times New Roman" w:hAnsi="Times New Roman" w:cs="Times New Roman"/>
                <w:sz w:val="24"/>
                <w:szCs w:val="24"/>
              </w:rPr>
            </w:pPr>
            <w:r w:rsidRPr="00EB1B75">
              <w:rPr>
                <w:rStyle w:val="Ttulo1Car"/>
              </w:rPr>
              <w:t>DATOS PERSONALES</w:t>
            </w:r>
            <w:r w:rsidRPr="000C2C56">
              <w:rPr>
                <w:rFonts w:ascii="Times New Roman" w:hAnsi="Times New Roman" w:cs="Times New Roman"/>
                <w:sz w:val="24"/>
                <w:szCs w:val="24"/>
              </w:rPr>
              <w:t>: La siguiente ficha debe ser llenada por todos los participantes del congreso ya</w:t>
            </w:r>
            <w:r w:rsidR="009075CD">
              <w:rPr>
                <w:rFonts w:ascii="Times New Roman" w:hAnsi="Times New Roman" w:cs="Times New Roman"/>
                <w:sz w:val="24"/>
                <w:szCs w:val="24"/>
              </w:rPr>
              <w:t xml:space="preserve"> sea que</w:t>
            </w:r>
            <w:r w:rsidRPr="000C2C56">
              <w:rPr>
                <w:rFonts w:ascii="Times New Roman" w:hAnsi="Times New Roman" w:cs="Times New Roman"/>
                <w:sz w:val="24"/>
                <w:szCs w:val="24"/>
              </w:rPr>
              <w:t xml:space="preserve"> lo hagan en cali</w:t>
            </w:r>
            <w:r w:rsidR="009075CD">
              <w:rPr>
                <w:rFonts w:ascii="Times New Roman" w:hAnsi="Times New Roman" w:cs="Times New Roman"/>
                <w:sz w:val="24"/>
                <w:szCs w:val="24"/>
              </w:rPr>
              <w:t>dad de expositores de ponencias</w:t>
            </w:r>
            <w:r w:rsidRPr="000C2C56">
              <w:rPr>
                <w:rFonts w:ascii="Times New Roman" w:hAnsi="Times New Roman" w:cs="Times New Roman"/>
                <w:sz w:val="24"/>
                <w:szCs w:val="24"/>
              </w:rPr>
              <w:t xml:space="preserve"> </w:t>
            </w:r>
            <w:r w:rsidR="009075CD">
              <w:rPr>
                <w:rFonts w:ascii="Times New Roman" w:hAnsi="Times New Roman" w:cs="Times New Roman"/>
                <w:sz w:val="24"/>
                <w:szCs w:val="24"/>
              </w:rPr>
              <w:t xml:space="preserve">o </w:t>
            </w:r>
            <w:r w:rsidRPr="000C2C56">
              <w:rPr>
                <w:rFonts w:ascii="Times New Roman" w:hAnsi="Times New Roman" w:cs="Times New Roman"/>
                <w:sz w:val="24"/>
                <w:szCs w:val="24"/>
              </w:rPr>
              <w:t>asistente</w:t>
            </w:r>
            <w:r w:rsidR="009075CD">
              <w:rPr>
                <w:rFonts w:ascii="Times New Roman" w:hAnsi="Times New Roman" w:cs="Times New Roman"/>
                <w:sz w:val="24"/>
                <w:szCs w:val="24"/>
              </w:rPr>
              <w:t>s.</w:t>
            </w:r>
          </w:p>
        </w:tc>
      </w:tr>
      <w:tr w:rsidR="00F91204" w:rsidRPr="000C2C56" w:rsidTr="009B48E3">
        <w:tc>
          <w:tcPr>
            <w:tcW w:w="8897" w:type="dxa"/>
          </w:tcPr>
          <w:p w:rsidR="00F91204" w:rsidRPr="000C2C56" w:rsidRDefault="00F91204" w:rsidP="009B48E3">
            <w:pPr>
              <w:rPr>
                <w:rFonts w:ascii="Times New Roman" w:hAnsi="Times New Roman" w:cs="Times New Roman"/>
                <w:sz w:val="24"/>
                <w:szCs w:val="24"/>
              </w:rPr>
            </w:pPr>
            <w:r w:rsidRPr="000C2C56">
              <w:rPr>
                <w:rFonts w:ascii="Times New Roman" w:hAnsi="Times New Roman" w:cs="Times New Roman"/>
                <w:sz w:val="24"/>
                <w:szCs w:val="24"/>
              </w:rPr>
              <w:t>APELLIDO Y NOMBRES:</w:t>
            </w:r>
          </w:p>
        </w:tc>
      </w:tr>
      <w:tr w:rsidR="00F91204" w:rsidRPr="000C2C56" w:rsidTr="009B48E3">
        <w:tc>
          <w:tcPr>
            <w:tcW w:w="8897" w:type="dxa"/>
          </w:tcPr>
          <w:p w:rsidR="00F91204" w:rsidRPr="000C2C56" w:rsidRDefault="00F91204" w:rsidP="009B48E3">
            <w:pPr>
              <w:rPr>
                <w:rFonts w:ascii="Times New Roman" w:hAnsi="Times New Roman" w:cs="Times New Roman"/>
                <w:sz w:val="24"/>
                <w:szCs w:val="24"/>
              </w:rPr>
            </w:pPr>
            <w:r w:rsidRPr="000C2C56">
              <w:rPr>
                <w:rFonts w:ascii="Times New Roman" w:hAnsi="Times New Roman" w:cs="Times New Roman"/>
                <w:sz w:val="24"/>
                <w:szCs w:val="24"/>
              </w:rPr>
              <w:t>TIPO Y  Nº DE DOCUMENTO:</w:t>
            </w:r>
          </w:p>
        </w:tc>
      </w:tr>
      <w:tr w:rsidR="00F91204" w:rsidRPr="000C2C56" w:rsidTr="009B48E3">
        <w:tc>
          <w:tcPr>
            <w:tcW w:w="8897" w:type="dxa"/>
          </w:tcPr>
          <w:p w:rsidR="00F91204" w:rsidRPr="000C2C56" w:rsidRDefault="00F91204" w:rsidP="009B48E3">
            <w:pPr>
              <w:rPr>
                <w:rFonts w:ascii="Times New Roman" w:hAnsi="Times New Roman" w:cs="Times New Roman"/>
                <w:sz w:val="24"/>
                <w:szCs w:val="24"/>
              </w:rPr>
            </w:pPr>
            <w:r w:rsidRPr="000C2C56">
              <w:rPr>
                <w:rFonts w:ascii="Times New Roman" w:hAnsi="Times New Roman" w:cs="Times New Roman"/>
                <w:sz w:val="24"/>
                <w:szCs w:val="24"/>
              </w:rPr>
              <w:t>INSTITUCIÓN EN LA QUE TRABAJA Y/O ESTUDIA:</w:t>
            </w:r>
          </w:p>
        </w:tc>
      </w:tr>
      <w:tr w:rsidR="00F91204" w:rsidRPr="000C2C56" w:rsidTr="009B48E3">
        <w:tc>
          <w:tcPr>
            <w:tcW w:w="8897" w:type="dxa"/>
          </w:tcPr>
          <w:p w:rsidR="00F91204" w:rsidRPr="000C2C56" w:rsidRDefault="00F91204" w:rsidP="009B48E3">
            <w:pPr>
              <w:rPr>
                <w:rFonts w:ascii="Times New Roman" w:hAnsi="Times New Roman" w:cs="Times New Roman"/>
                <w:sz w:val="24"/>
                <w:szCs w:val="24"/>
              </w:rPr>
            </w:pPr>
            <w:r w:rsidRPr="000C2C56">
              <w:rPr>
                <w:rFonts w:ascii="Times New Roman" w:hAnsi="Times New Roman" w:cs="Times New Roman"/>
                <w:sz w:val="24"/>
                <w:szCs w:val="24"/>
              </w:rPr>
              <w:t>CORREO ELECTRÓNICO PERSONAL:</w:t>
            </w:r>
          </w:p>
        </w:tc>
      </w:tr>
      <w:tr w:rsidR="00F91204" w:rsidRPr="000C2C56" w:rsidTr="009B48E3">
        <w:tc>
          <w:tcPr>
            <w:tcW w:w="8897" w:type="dxa"/>
          </w:tcPr>
          <w:p w:rsidR="00F91204" w:rsidRPr="000C2C56" w:rsidRDefault="00F91204" w:rsidP="009B48E3">
            <w:pPr>
              <w:rPr>
                <w:rFonts w:ascii="Times New Roman" w:hAnsi="Times New Roman" w:cs="Times New Roman"/>
                <w:sz w:val="24"/>
                <w:szCs w:val="24"/>
              </w:rPr>
            </w:pPr>
            <w:r w:rsidRPr="000C2C56">
              <w:rPr>
                <w:rFonts w:ascii="Times New Roman" w:hAnsi="Times New Roman" w:cs="Times New Roman"/>
                <w:sz w:val="24"/>
                <w:szCs w:val="24"/>
              </w:rPr>
              <w:t>TELÉFONO PERSONAL:</w:t>
            </w:r>
          </w:p>
        </w:tc>
      </w:tr>
      <w:tr w:rsidR="00F91204" w:rsidRPr="000C2C56" w:rsidTr="009B48E3">
        <w:trPr>
          <w:trHeight w:val="267"/>
        </w:trPr>
        <w:tc>
          <w:tcPr>
            <w:tcW w:w="8897" w:type="dxa"/>
          </w:tcPr>
          <w:p w:rsidR="00F91204" w:rsidRPr="000C2C56" w:rsidRDefault="00F91204" w:rsidP="00EE16BC">
            <w:pPr>
              <w:rPr>
                <w:rFonts w:ascii="Times New Roman" w:hAnsi="Times New Roman" w:cs="Times New Roman"/>
                <w:sz w:val="24"/>
                <w:szCs w:val="24"/>
              </w:rPr>
            </w:pPr>
            <w:r w:rsidRPr="00EB1B75">
              <w:rPr>
                <w:rStyle w:val="Ttulo2Car"/>
              </w:rPr>
              <w:t>CARÁCTER DE SU PARTICIPACIÓN</w:t>
            </w:r>
            <w:r w:rsidRPr="000C2C56">
              <w:rPr>
                <w:rFonts w:ascii="Times New Roman" w:hAnsi="Times New Roman" w:cs="Times New Roman"/>
                <w:sz w:val="24"/>
                <w:szCs w:val="24"/>
              </w:rPr>
              <w:t xml:space="preserve">: </w:t>
            </w:r>
          </w:p>
        </w:tc>
      </w:tr>
      <w:tr w:rsidR="00F91204" w:rsidRPr="000C2C56" w:rsidTr="009B48E3">
        <w:trPr>
          <w:trHeight w:val="267"/>
        </w:trPr>
        <w:tc>
          <w:tcPr>
            <w:tcW w:w="8897" w:type="dxa"/>
          </w:tcPr>
          <w:p w:rsidR="00F91204" w:rsidRPr="000C2C56" w:rsidRDefault="00F91204" w:rsidP="009B48E3">
            <w:pPr>
              <w:rPr>
                <w:rFonts w:ascii="Times New Roman" w:hAnsi="Times New Roman" w:cs="Times New Roman"/>
                <w:sz w:val="24"/>
                <w:szCs w:val="24"/>
              </w:rPr>
            </w:pPr>
            <w:r w:rsidRPr="000C2C56">
              <w:rPr>
                <w:rFonts w:ascii="Times New Roman" w:hAnsi="Times New Roman" w:cs="Times New Roman"/>
                <w:sz w:val="24"/>
                <w:szCs w:val="24"/>
              </w:rPr>
              <w:t>EXPOSITOR EN LAS PONENCIAS:  (    )</w:t>
            </w:r>
          </w:p>
        </w:tc>
      </w:tr>
      <w:tr w:rsidR="00F91204" w:rsidRPr="000C2C56" w:rsidTr="009B48E3">
        <w:trPr>
          <w:trHeight w:val="267"/>
        </w:trPr>
        <w:tc>
          <w:tcPr>
            <w:tcW w:w="8897" w:type="dxa"/>
          </w:tcPr>
          <w:p w:rsidR="00F91204" w:rsidRPr="000C2C56" w:rsidRDefault="00A72B27" w:rsidP="009B48E3">
            <w:pPr>
              <w:rPr>
                <w:rFonts w:ascii="Times New Roman" w:hAnsi="Times New Roman" w:cs="Times New Roman"/>
                <w:sz w:val="24"/>
                <w:szCs w:val="24"/>
              </w:rPr>
            </w:pPr>
            <w:r w:rsidRPr="000C2C56">
              <w:rPr>
                <w:rFonts w:ascii="Times New Roman" w:hAnsi="Times New Roman" w:cs="Times New Roman"/>
                <w:sz w:val="24"/>
                <w:szCs w:val="24"/>
              </w:rPr>
              <w:t>ASISTENTE:  (    )</w:t>
            </w:r>
          </w:p>
        </w:tc>
      </w:tr>
    </w:tbl>
    <w:p w:rsidR="00F91204" w:rsidRPr="006409F9" w:rsidRDefault="00F91204" w:rsidP="00F91204">
      <w:pPr>
        <w:rPr>
          <w:b/>
          <w:bCs/>
        </w:rPr>
      </w:pPr>
    </w:p>
    <w:p w:rsidR="00F91204" w:rsidRDefault="00F91204" w:rsidP="00F91204">
      <w:pPr>
        <w:rPr>
          <w:rFonts w:ascii="Times New Roman" w:hAnsi="Times New Roman" w:cs="Times New Roman"/>
        </w:rPr>
      </w:pPr>
      <w:r w:rsidRPr="006409F9">
        <w:rPr>
          <w:b/>
          <w:bCs/>
        </w:rPr>
        <w:t>Lugar de realización</w:t>
      </w:r>
      <w:r w:rsidRPr="006409F9">
        <w:rPr>
          <w:rFonts w:ascii="Times New Roman" w:hAnsi="Times New Roman" w:cs="Times New Roman"/>
        </w:rPr>
        <w:br/>
      </w:r>
      <w:r w:rsidRPr="006409F9">
        <w:rPr>
          <w:i/>
          <w:iCs/>
        </w:rPr>
        <w:t>Universidad Nacional de San Luis. Ejercicito de los Andes 950 </w:t>
      </w:r>
      <w:r w:rsidRPr="006409F9">
        <w:rPr>
          <w:rFonts w:ascii="Times New Roman" w:hAnsi="Times New Roman" w:cs="Times New Roman"/>
        </w:rPr>
        <w:br/>
      </w:r>
      <w:r w:rsidRPr="006409F9">
        <w:rPr>
          <w:b/>
          <w:bCs/>
        </w:rPr>
        <w:t>Aranceles  </w:t>
      </w:r>
      <w:r w:rsidRPr="006409F9">
        <w:rPr>
          <w:rFonts w:ascii="Times New Roman" w:hAnsi="Times New Roman" w:cs="Times New Roman"/>
        </w:rPr>
        <w:br/>
      </w:r>
      <w:r w:rsidR="007417E5">
        <w:rPr>
          <w:i/>
          <w:iCs/>
        </w:rPr>
        <w:t xml:space="preserve">Expositores de trabajos: </w:t>
      </w:r>
      <w:r w:rsidRPr="006409F9">
        <w:rPr>
          <w:i/>
          <w:iCs/>
        </w:rPr>
        <w:t xml:space="preserve">Nacionales y Extranjeros* Hasta 28 </w:t>
      </w:r>
      <w:r w:rsidR="007417E5">
        <w:rPr>
          <w:i/>
          <w:iCs/>
        </w:rPr>
        <w:t>de junio, pesos</w:t>
      </w:r>
      <w:r w:rsidRPr="006409F9">
        <w:rPr>
          <w:i/>
          <w:iCs/>
        </w:rPr>
        <w:t>  35</w:t>
      </w:r>
      <w:r w:rsidR="007417E5">
        <w:rPr>
          <w:i/>
          <w:iCs/>
        </w:rPr>
        <w:t xml:space="preserve">0. </w:t>
      </w:r>
      <w:r w:rsidRPr="006409F9">
        <w:rPr>
          <w:i/>
          <w:iCs/>
        </w:rPr>
        <w:t>Después</w:t>
      </w:r>
      <w:r w:rsidR="007417E5">
        <w:rPr>
          <w:i/>
          <w:iCs/>
        </w:rPr>
        <w:t xml:space="preserve"> de esa fecha pesos</w:t>
      </w:r>
      <w:r w:rsidRPr="006409F9">
        <w:rPr>
          <w:i/>
          <w:iCs/>
        </w:rPr>
        <w:t xml:space="preserve"> 450</w:t>
      </w:r>
      <w:r w:rsidR="007417E5">
        <w:rPr>
          <w:i/>
          <w:iCs/>
        </w:rPr>
        <w:t xml:space="preserve">. IMPORTANTE: EN EL CASO DE TRABAJOS </w:t>
      </w:r>
      <w:r w:rsidR="00B62960">
        <w:rPr>
          <w:i/>
          <w:iCs/>
        </w:rPr>
        <w:t>PRESENTADOS POR MÁS DE UN AUTOR, CADA UNO DE ELLOS DEBERÁ INSCRIBIRSE Y PAGAR SU INSCRIPCIÓN POR SEPARADO.</w:t>
      </w:r>
      <w:r w:rsidRPr="006409F9">
        <w:rPr>
          <w:rFonts w:ascii="Times New Roman" w:hAnsi="Times New Roman" w:cs="Times New Roman"/>
        </w:rPr>
        <w:br/>
      </w:r>
      <w:r w:rsidR="007417E5">
        <w:rPr>
          <w:i/>
          <w:iCs/>
        </w:rPr>
        <w:t xml:space="preserve">Asistentes: Nacionales y Extranjeros. Hasta el 28 de junio, pesos150. </w:t>
      </w:r>
      <w:r w:rsidRPr="006409F9">
        <w:rPr>
          <w:i/>
          <w:iCs/>
        </w:rPr>
        <w:t xml:space="preserve">Después de </w:t>
      </w:r>
      <w:r w:rsidR="007417E5">
        <w:rPr>
          <w:i/>
          <w:iCs/>
        </w:rPr>
        <w:t xml:space="preserve">esa fecha, pesos 200 </w:t>
      </w:r>
      <w:r w:rsidRPr="006409F9">
        <w:rPr>
          <w:i/>
          <w:iCs/>
        </w:rPr>
        <w:t>)</w:t>
      </w:r>
      <w:r w:rsidRPr="006409F9">
        <w:rPr>
          <w:rFonts w:ascii="Times New Roman" w:hAnsi="Times New Roman" w:cs="Times New Roman"/>
        </w:rPr>
        <w:br/>
      </w:r>
      <w:r w:rsidRPr="006409F9">
        <w:rPr>
          <w:i/>
          <w:iCs/>
        </w:rPr>
        <w:t>Estudiantes 100 pesos y 150 pesos después</w:t>
      </w:r>
      <w:r w:rsidRPr="006409F9">
        <w:rPr>
          <w:rFonts w:ascii="Times New Roman" w:hAnsi="Times New Roman" w:cs="Times New Roman"/>
        </w:rPr>
        <w:br/>
      </w:r>
      <w:r w:rsidRPr="006409F9">
        <w:rPr>
          <w:i/>
          <w:iCs/>
        </w:rPr>
        <w:t xml:space="preserve">* Se sugiere que los extranjeros abonen los aranceles en la sede del Encuentro, el día de su inicio. </w:t>
      </w:r>
      <w:r w:rsidRPr="006409F9">
        <w:rPr>
          <w:rFonts w:ascii="Times New Roman" w:hAnsi="Times New Roman" w:cs="Times New Roman"/>
        </w:rPr>
        <w:br/>
      </w:r>
      <w:r w:rsidRPr="006409F9">
        <w:rPr>
          <w:i/>
          <w:iCs/>
        </w:rPr>
        <w:t> </w:t>
      </w:r>
      <w:r w:rsidRPr="006409F9">
        <w:rPr>
          <w:rFonts w:ascii="Times New Roman" w:hAnsi="Times New Roman" w:cs="Times New Roman"/>
        </w:rPr>
        <w:br/>
      </w:r>
    </w:p>
    <w:p w:rsidR="00C05EB6" w:rsidRDefault="00C05EB6" w:rsidP="00C05EB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6223F7">
        <w:rPr>
          <w:rFonts w:ascii="Times New Roman" w:hAnsi="Times New Roman" w:cs="Times New Roman"/>
          <w:b/>
        </w:rPr>
        <w:lastRenderedPageBreak/>
        <w:t>Modo de pago</w:t>
      </w:r>
      <w:r>
        <w:rPr>
          <w:rFonts w:ascii="Times New Roman" w:hAnsi="Times New Roman" w:cs="Times New Roman"/>
        </w:rPr>
        <w:t xml:space="preserve">: Se debe realizar una trasferencia (no deposito) a nombre de la Fundación Universidad Nacional de San Luis.  CUIT Nº  30-64873112-0      </w:t>
      </w:r>
    </w:p>
    <w:p w:rsidR="00C05EB6" w:rsidRDefault="00C05EB6" w:rsidP="00C05EB6">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CBU Nº  0110478720047820172072          Cta. Cte. Nº 478-20172/07</w:t>
      </w:r>
    </w:p>
    <w:p w:rsidR="00C05EB6" w:rsidRDefault="00C05EB6" w:rsidP="00C05EB6">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 xml:space="preserve">LEER IMPORTANTE: 1.- Se debe enviar un e-meil: </w:t>
      </w:r>
      <w:hyperlink r:id="rId11" w:history="1">
        <w:r w:rsidRPr="00A635C8">
          <w:rPr>
            <w:rStyle w:val="Hipervnculo"/>
            <w:rFonts w:ascii="Times New Roman" w:hAnsi="Times New Roman" w:cs="Times New Roman"/>
          </w:rPr>
          <w:t>fundación@unsl.edu.ar</w:t>
        </w:r>
      </w:hyperlink>
      <w:r>
        <w:rPr>
          <w:rFonts w:ascii="Times New Roman" w:hAnsi="Times New Roman" w:cs="Times New Roman"/>
        </w:rPr>
        <w:t xml:space="preserve">  el recibo de la transferencia scaneando.  2.-  En dicho e-meil se debe informar a nombre de quien se debe realizar la factura (esto se hace una única vez dado que no se puede hacer duplicación de facturas).</w:t>
      </w:r>
    </w:p>
    <w:p w:rsidR="00F91204" w:rsidRDefault="00F91204" w:rsidP="00F91204">
      <w:pPr>
        <w:rPr>
          <w:rFonts w:ascii="Times New Roman" w:hAnsi="Times New Roman" w:cs="Times New Roman"/>
        </w:rPr>
      </w:pPr>
      <w:r>
        <w:rPr>
          <w:rFonts w:ascii="Times New Roman" w:hAnsi="Times New Roman" w:cs="Times New Roman"/>
        </w:rPr>
        <w:t xml:space="preserve">Mayor información en: </w:t>
      </w:r>
      <w:hyperlink r:id="rId12" w:history="1">
        <w:r w:rsidRPr="00656B25">
          <w:rPr>
            <w:rStyle w:val="Hipervnculo"/>
            <w:rFonts w:ascii="Times New Roman" w:hAnsi="Times New Roman" w:cs="Times New Roman"/>
          </w:rPr>
          <w:t>encuentro7@unsl.edu.ar</w:t>
        </w:r>
      </w:hyperlink>
      <w:r>
        <w:rPr>
          <w:rFonts w:ascii="Times New Roman" w:hAnsi="Times New Roman" w:cs="Times New Roman"/>
        </w:rPr>
        <w:t xml:space="preserve"> </w:t>
      </w:r>
    </w:p>
    <w:p w:rsidR="00BC48B4" w:rsidRDefault="00BC48B4"/>
    <w:sectPr w:rsidR="00BC48B4" w:rsidSect="00351F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595" w:rsidRDefault="00C32595" w:rsidP="00F91204">
      <w:pPr>
        <w:spacing w:after="0" w:line="240" w:lineRule="auto"/>
      </w:pPr>
      <w:r>
        <w:separator/>
      </w:r>
    </w:p>
  </w:endnote>
  <w:endnote w:type="continuationSeparator" w:id="1">
    <w:p w:rsidR="00C32595" w:rsidRDefault="00C32595" w:rsidP="00F912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595" w:rsidRDefault="00C32595" w:rsidP="00F91204">
      <w:pPr>
        <w:spacing w:after="0" w:line="240" w:lineRule="auto"/>
      </w:pPr>
      <w:r>
        <w:separator/>
      </w:r>
    </w:p>
  </w:footnote>
  <w:footnote w:type="continuationSeparator" w:id="1">
    <w:p w:rsidR="00C32595" w:rsidRDefault="00C32595" w:rsidP="00F91204">
      <w:pPr>
        <w:spacing w:after="0" w:line="240" w:lineRule="auto"/>
      </w:pPr>
      <w:r>
        <w:continuationSeparator/>
      </w:r>
    </w:p>
  </w:footnote>
  <w:footnote w:id="2">
    <w:p w:rsidR="00F91204" w:rsidRDefault="00F91204" w:rsidP="00F91204">
      <w:pPr>
        <w:pStyle w:val="Textonotapie"/>
      </w:pPr>
      <w:r>
        <w:rPr>
          <w:rStyle w:val="Refdenotaalpie"/>
        </w:rPr>
        <w:footnoteRef/>
      </w:r>
      <w:r>
        <w:t xml:space="preserve"> Los ejes presentados en esta segunda circular han sufrido modificaciones respecto a los incluidos en la primera, por lo que es importante guiarse por los aquí planteados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03260"/>
    <w:multiLevelType w:val="hybridMultilevel"/>
    <w:tmpl w:val="F72AD0D4"/>
    <w:lvl w:ilvl="0" w:tplc="F174A290">
      <w:numFmt w:val="bullet"/>
      <w:lvlText w:val="-"/>
      <w:lvlJc w:val="left"/>
      <w:pPr>
        <w:ind w:left="720" w:hanging="360"/>
      </w:pPr>
      <w:rPr>
        <w:rFonts w:ascii="Calibri" w:eastAsia="Times New Roman" w:hAnsi="Calibri" w:cs="Calibri" w:hint="default"/>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1">
    <w:nsid w:val="2AE12343"/>
    <w:multiLevelType w:val="hybridMultilevel"/>
    <w:tmpl w:val="D64A6228"/>
    <w:lvl w:ilvl="0" w:tplc="340A0005">
      <w:start w:val="1"/>
      <w:numFmt w:val="bullet"/>
      <w:lvlText w:val=""/>
      <w:lvlJc w:val="left"/>
      <w:pPr>
        <w:ind w:left="720" w:hanging="360"/>
      </w:pPr>
      <w:rPr>
        <w:rFonts w:ascii="Wingdings" w:hAnsi="Wingdings" w:hint="default"/>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91204"/>
    <w:rsid w:val="00027BE8"/>
    <w:rsid w:val="000E1465"/>
    <w:rsid w:val="00117B6F"/>
    <w:rsid w:val="003400A1"/>
    <w:rsid w:val="003456B1"/>
    <w:rsid w:val="003B0D9A"/>
    <w:rsid w:val="003D286A"/>
    <w:rsid w:val="003F6CA2"/>
    <w:rsid w:val="004115D5"/>
    <w:rsid w:val="00670379"/>
    <w:rsid w:val="007417E5"/>
    <w:rsid w:val="008B79CD"/>
    <w:rsid w:val="009075CD"/>
    <w:rsid w:val="00A72B27"/>
    <w:rsid w:val="00B62960"/>
    <w:rsid w:val="00BC48B4"/>
    <w:rsid w:val="00C05EB6"/>
    <w:rsid w:val="00C12D0B"/>
    <w:rsid w:val="00C32595"/>
    <w:rsid w:val="00CA443E"/>
    <w:rsid w:val="00D56DE0"/>
    <w:rsid w:val="00D96BA0"/>
    <w:rsid w:val="00EE16BC"/>
    <w:rsid w:val="00F9120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204"/>
    <w:rPr>
      <w:rFonts w:eastAsiaTheme="minorEastAsia"/>
      <w:lang w:val="es-AR" w:eastAsia="es-AR"/>
    </w:rPr>
  </w:style>
  <w:style w:type="paragraph" w:styleId="Ttulo1">
    <w:name w:val="heading 1"/>
    <w:basedOn w:val="Normal"/>
    <w:next w:val="Normal"/>
    <w:link w:val="Ttulo1Car"/>
    <w:uiPriority w:val="9"/>
    <w:qFormat/>
    <w:rsid w:val="00F912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912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912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1204"/>
    <w:rPr>
      <w:rFonts w:asciiTheme="majorHAnsi" w:eastAsiaTheme="majorEastAsia" w:hAnsiTheme="majorHAnsi" w:cstheme="majorBidi"/>
      <w:b/>
      <w:bCs/>
      <w:color w:val="365F91" w:themeColor="accent1" w:themeShade="BF"/>
      <w:sz w:val="28"/>
      <w:szCs w:val="28"/>
      <w:lang w:val="es-AR" w:eastAsia="es-AR"/>
    </w:rPr>
  </w:style>
  <w:style w:type="character" w:customStyle="1" w:styleId="Ttulo2Car">
    <w:name w:val="Título 2 Car"/>
    <w:basedOn w:val="Fuentedeprrafopredeter"/>
    <w:link w:val="Ttulo2"/>
    <w:uiPriority w:val="9"/>
    <w:rsid w:val="00F91204"/>
    <w:rPr>
      <w:rFonts w:asciiTheme="majorHAnsi" w:eastAsiaTheme="majorEastAsia" w:hAnsiTheme="majorHAnsi" w:cstheme="majorBidi"/>
      <w:b/>
      <w:bCs/>
      <w:color w:val="4F81BD" w:themeColor="accent1"/>
      <w:sz w:val="26"/>
      <w:szCs w:val="26"/>
      <w:lang w:val="es-AR" w:eastAsia="es-AR"/>
    </w:rPr>
  </w:style>
  <w:style w:type="character" w:customStyle="1" w:styleId="Ttulo3Car">
    <w:name w:val="Título 3 Car"/>
    <w:basedOn w:val="Fuentedeprrafopredeter"/>
    <w:link w:val="Ttulo3"/>
    <w:uiPriority w:val="9"/>
    <w:rsid w:val="00F91204"/>
    <w:rPr>
      <w:rFonts w:asciiTheme="majorHAnsi" w:eastAsiaTheme="majorEastAsia" w:hAnsiTheme="majorHAnsi" w:cstheme="majorBidi"/>
      <w:b/>
      <w:bCs/>
      <w:color w:val="4F81BD" w:themeColor="accent1"/>
      <w:lang w:val="es-AR" w:eastAsia="es-AR"/>
    </w:rPr>
  </w:style>
  <w:style w:type="character" w:customStyle="1" w:styleId="apple-converted-space">
    <w:name w:val="apple-converted-space"/>
    <w:basedOn w:val="Fuentedeprrafopredeter"/>
    <w:rsid w:val="00F91204"/>
  </w:style>
  <w:style w:type="character" w:styleId="Hipervnculo">
    <w:name w:val="Hyperlink"/>
    <w:basedOn w:val="Fuentedeprrafopredeter"/>
    <w:unhideWhenUsed/>
    <w:rsid w:val="00F91204"/>
    <w:rPr>
      <w:color w:val="0000FF"/>
      <w:u w:val="single"/>
    </w:rPr>
  </w:style>
  <w:style w:type="paragraph" w:styleId="NormalWeb">
    <w:name w:val="Normal (Web)"/>
    <w:basedOn w:val="Normal"/>
    <w:uiPriority w:val="99"/>
    <w:unhideWhenUsed/>
    <w:rsid w:val="00F91204"/>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F91204"/>
    <w:rPr>
      <w:b/>
      <w:bCs/>
    </w:rPr>
  </w:style>
  <w:style w:type="character" w:styleId="nfasis">
    <w:name w:val="Emphasis"/>
    <w:basedOn w:val="Fuentedeprrafopredeter"/>
    <w:uiPriority w:val="20"/>
    <w:qFormat/>
    <w:rsid w:val="00F91204"/>
    <w:rPr>
      <w:i/>
      <w:iCs/>
    </w:rPr>
  </w:style>
  <w:style w:type="paragraph" w:styleId="Ttulo">
    <w:name w:val="Title"/>
    <w:basedOn w:val="Normal"/>
    <w:next w:val="Normal"/>
    <w:link w:val="TtuloCar"/>
    <w:uiPriority w:val="10"/>
    <w:qFormat/>
    <w:rsid w:val="00F912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91204"/>
    <w:rPr>
      <w:rFonts w:asciiTheme="majorHAnsi" w:eastAsiaTheme="majorEastAsia" w:hAnsiTheme="majorHAnsi" w:cstheme="majorBidi"/>
      <w:color w:val="17365D" w:themeColor="text2" w:themeShade="BF"/>
      <w:spacing w:val="5"/>
      <w:kern w:val="28"/>
      <w:sz w:val="52"/>
      <w:szCs w:val="52"/>
      <w:lang w:val="es-AR" w:eastAsia="es-AR"/>
    </w:rPr>
  </w:style>
  <w:style w:type="paragraph" w:styleId="Textonotapie">
    <w:name w:val="footnote text"/>
    <w:basedOn w:val="Normal"/>
    <w:link w:val="TextonotapieCar"/>
    <w:uiPriority w:val="99"/>
    <w:semiHidden/>
    <w:unhideWhenUsed/>
    <w:rsid w:val="00F9120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1204"/>
    <w:rPr>
      <w:rFonts w:eastAsiaTheme="minorEastAsia"/>
      <w:sz w:val="20"/>
      <w:szCs w:val="20"/>
      <w:lang w:val="es-AR" w:eastAsia="es-AR"/>
    </w:rPr>
  </w:style>
  <w:style w:type="character" w:styleId="Refdenotaalpie">
    <w:name w:val="footnote reference"/>
    <w:basedOn w:val="Fuentedeprrafopredeter"/>
    <w:uiPriority w:val="99"/>
    <w:semiHidden/>
    <w:unhideWhenUsed/>
    <w:rsid w:val="00F91204"/>
    <w:rPr>
      <w:vertAlign w:val="superscript"/>
    </w:rPr>
  </w:style>
  <w:style w:type="paragraph" w:styleId="Prrafodelista">
    <w:name w:val="List Paragraph"/>
    <w:basedOn w:val="Normal"/>
    <w:uiPriority w:val="34"/>
    <w:qFormat/>
    <w:rsid w:val="00F91204"/>
    <w:pPr>
      <w:ind w:left="720"/>
      <w:contextualSpacing/>
    </w:pPr>
    <w:rPr>
      <w:rFonts w:ascii="Calibri" w:eastAsia="Calibri" w:hAnsi="Calibri" w:cs="Times New Roman"/>
      <w:lang w:val="es-ES" w:eastAsia="en-US"/>
    </w:rPr>
  </w:style>
  <w:style w:type="table" w:styleId="Tablaconcuadrcula">
    <w:name w:val="Table Grid"/>
    <w:basedOn w:val="Tablanormal"/>
    <w:uiPriority w:val="59"/>
    <w:rsid w:val="00F91204"/>
    <w:pPr>
      <w:spacing w:after="0" w:line="240" w:lineRule="auto"/>
    </w:pPr>
    <w:rPr>
      <w:rFonts w:eastAsiaTheme="minorEastAsia"/>
      <w:lang w:val="es-AR" w:eastAsia="es-A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703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0379"/>
    <w:rPr>
      <w:rFonts w:ascii="Tahoma" w:eastAsiaTheme="minorEastAsia" w:hAnsi="Tahoma" w:cs="Tahoma"/>
      <w:sz w:val="16"/>
      <w:szCs w:val="16"/>
      <w:lang w:val="es-AR"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cuentro7@unsl.edu.a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ncuentro7@unsl.edu.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undaci&#243;n@unsl.edu.ar" TargetMode="External"/><Relationship Id="rId5" Type="http://schemas.openxmlformats.org/officeDocument/2006/relationships/footnotes" Target="footnotes.xml"/><Relationship Id="rId10" Type="http://schemas.openxmlformats.org/officeDocument/2006/relationships/hyperlink" Target="mailto:encuentro7@unsl.edu.ar" TargetMode="External"/><Relationship Id="rId4" Type="http://schemas.openxmlformats.org/officeDocument/2006/relationships/webSettings" Target="webSettings.xml"/><Relationship Id="rId9" Type="http://schemas.openxmlformats.org/officeDocument/2006/relationships/hyperlink" Target="http://lia.unet.edu.ve/ant/EstiloAPA.ht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980</Words>
  <Characters>5390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cmazzola</cp:lastModifiedBy>
  <cp:revision>6</cp:revision>
  <dcterms:created xsi:type="dcterms:W3CDTF">2013-02-25T21:01:00Z</dcterms:created>
  <dcterms:modified xsi:type="dcterms:W3CDTF">2013-02-26T14:40:00Z</dcterms:modified>
</cp:coreProperties>
</file>